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both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附件1.</w:t>
      </w:r>
    </w:p>
    <w:tbl>
      <w:tblPr>
        <w:tblStyle w:val="5"/>
        <w:tblW w:w="1188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Style w:val="11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</w:t>
            </w:r>
            <w:r>
              <w:rPr>
                <w:rStyle w:val="12"/>
                <w:lang w:val="en-US" w:eastAsia="zh-CN" w:bidi="ar"/>
              </w:rPr>
              <w:t>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退耕还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吾日麦提古丽18963895687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于田县草原站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>其中：本年财政拨款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中央林业生态保护资金1350万元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 xml:space="preserve">      其他资金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目标1：退耕还草苜蓿面积3万亩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目标2：促进草原植被恢复，改善生态环境，加快畜牧业产业化发展，助力农牧民脱贫攻坚任务的完成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目标1：退耕还草苜蓿面积3万亩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目标2：促进草原植被恢复，改善生态环境，加快畜牧业产业化发展，助力农牧民脱贫攻坚任务的完成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退耕还草面积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种植成活率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苜蓿种子质量等级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秋眠级，直根系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秋眠级，直根系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苜蓿每亩产草量达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≥700公斤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700公斤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种苗种草费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14"/>
                <w:lang w:val="en-US" w:eastAsia="zh-CN" w:bidi="ar"/>
              </w:rPr>
              <w:t>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14"/>
                <w:lang w:val="en-US" w:eastAsia="zh-CN" w:bidi="ar"/>
              </w:rPr>
              <w:t>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每亩田间管理费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大叶紫花苜蓿每公斤种子单价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23元/kg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23元/kg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促进项目区农牧民人均增收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项目覆盖村个数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其中：覆盖贫困村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项目覆盖退耕农户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6085户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6085户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其中：覆盖贫困户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4259户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4259户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天然草原植被平均盖度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减少水土流失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2.33万吨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2.33万吨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增加草原蓄水量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Style w:val="14"/>
                <w:lang w:val="en-US" w:eastAsia="zh-CN" w:bidi="ar"/>
              </w:rPr>
              <w:t>.292万立方米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Style w:val="14"/>
                <w:lang w:val="en-US" w:eastAsia="zh-CN" w:bidi="ar"/>
              </w:rPr>
              <w:t>.292万立方米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草原保护和可持续利用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促进草食畜牧业的可持续发展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36767"/>
    <w:rsid w:val="003B561D"/>
    <w:rsid w:val="009024D1"/>
    <w:rsid w:val="00A36767"/>
    <w:rsid w:val="00D83A45"/>
    <w:rsid w:val="26314D5A"/>
    <w:rsid w:val="4EC75A9B"/>
    <w:rsid w:val="7D11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61"/>
    <w:basedOn w:val="6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2">
    <w:name w:val="font5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7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9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249</Words>
  <Characters>1425</Characters>
  <Lines>11</Lines>
  <Paragraphs>3</Paragraphs>
  <TotalTime>14</TotalTime>
  <ScaleCrop>false</ScaleCrop>
  <LinksUpToDate>false</LinksUpToDate>
  <CharactersWithSpaces>1671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2019-02-28T08:23:00Z</dcterms:created>
  <dc:creator>赵译研18199888881</dc:creator>
  <cp:lastModifiedBy>粽子</cp:lastModifiedBy>
  <dcterms:modified xsi:type="dcterms:W3CDTF">2019-07-07T10:39:18Z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