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2018年度于田县林业派出所部门决算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贯彻执行有关国家法律、法规和方针政策，</w:t>
      </w:r>
      <w:r>
        <w:rPr>
          <w:rFonts w:ascii="仿宋_GB2312" w:eastAsia="仿宋_GB2312"/>
          <w:sz w:val="32"/>
          <w:szCs w:val="32"/>
        </w:rPr>
        <w:t>组织编</w:t>
      </w:r>
      <w:r>
        <w:rPr>
          <w:rFonts w:hint="eastAsia" w:ascii="仿宋_GB2312" w:eastAsia="仿宋_GB2312"/>
          <w:sz w:val="32"/>
          <w:szCs w:val="32"/>
        </w:rPr>
        <w:t>制</w:t>
      </w:r>
      <w:r>
        <w:rPr>
          <w:rFonts w:ascii="仿宋_GB2312" w:eastAsia="仿宋_GB2312"/>
          <w:sz w:val="32"/>
          <w:szCs w:val="32"/>
        </w:rPr>
        <w:t>和实施于田县林业发展总体规划</w:t>
      </w:r>
      <w:r>
        <w:rPr>
          <w:rFonts w:hint="eastAsia" w:ascii="仿宋_GB2312" w:eastAsia="仿宋_GB2312"/>
          <w:sz w:val="32"/>
          <w:szCs w:val="32"/>
        </w:rPr>
        <w:t>、</w:t>
      </w:r>
      <w:r>
        <w:rPr>
          <w:rFonts w:ascii="仿宋_GB2312" w:eastAsia="仿宋_GB2312"/>
          <w:sz w:val="32"/>
          <w:szCs w:val="32"/>
        </w:rPr>
        <w:t>防</w:t>
      </w:r>
      <w:r>
        <w:rPr>
          <w:rFonts w:hint="eastAsia" w:ascii="仿宋_GB2312" w:eastAsia="仿宋_GB2312"/>
          <w:sz w:val="32"/>
          <w:szCs w:val="32"/>
        </w:rPr>
        <w:t>沙</w:t>
      </w:r>
      <w:r>
        <w:rPr>
          <w:rFonts w:ascii="仿宋_GB2312" w:eastAsia="仿宋_GB2312"/>
          <w:sz w:val="32"/>
          <w:szCs w:val="32"/>
        </w:rPr>
        <w:t>治沙发展规划、</w:t>
      </w:r>
      <w:r>
        <w:rPr>
          <w:rFonts w:hint="eastAsia" w:ascii="仿宋_GB2312" w:eastAsia="仿宋_GB2312"/>
          <w:sz w:val="32"/>
          <w:szCs w:val="32"/>
        </w:rPr>
        <w:t>林</w:t>
      </w:r>
      <w:r>
        <w:rPr>
          <w:rFonts w:ascii="仿宋_GB2312" w:eastAsia="仿宋_GB2312"/>
          <w:sz w:val="32"/>
          <w:szCs w:val="32"/>
        </w:rPr>
        <w:t>地保护利用总体发展规划等；</w:t>
      </w:r>
      <w:r>
        <w:rPr>
          <w:rFonts w:hint="eastAsia" w:ascii="仿宋_GB2312" w:eastAsia="仿宋_GB2312"/>
          <w:sz w:val="32"/>
          <w:szCs w:val="32"/>
        </w:rPr>
        <w:t>组织人</w:t>
      </w:r>
      <w:r>
        <w:rPr>
          <w:rFonts w:ascii="仿宋_GB2312" w:eastAsia="仿宋_GB2312"/>
          <w:sz w:val="32"/>
          <w:szCs w:val="32"/>
        </w:rPr>
        <w:t>员对全县森</w:t>
      </w:r>
      <w:r>
        <w:rPr>
          <w:rFonts w:hint="eastAsia" w:ascii="仿宋_GB2312" w:eastAsia="仿宋_GB2312"/>
          <w:sz w:val="32"/>
          <w:szCs w:val="32"/>
        </w:rPr>
        <w:t>林资源的管理和保护，森林资源不受侵害和破坏，特别是禁止牲畜侵入或人为地乱砍滥伐破坏森林；森林案件处理</w:t>
      </w:r>
      <w:r>
        <w:rPr>
          <w:rFonts w:ascii="仿宋_GB2312" w:eastAsia="仿宋_GB2312"/>
          <w:sz w:val="32"/>
          <w:szCs w:val="32"/>
        </w:rPr>
        <w:t>，推动全县</w:t>
      </w:r>
      <w:r>
        <w:rPr>
          <w:rFonts w:hint="eastAsia" w:ascii="仿宋_GB2312" w:eastAsia="仿宋_GB2312"/>
          <w:sz w:val="32"/>
          <w:szCs w:val="32"/>
        </w:rPr>
        <w:t>林业</w:t>
      </w:r>
      <w:r>
        <w:rPr>
          <w:rFonts w:ascii="仿宋_GB2312" w:eastAsia="仿宋_GB2312"/>
          <w:sz w:val="32"/>
          <w:szCs w:val="32"/>
        </w:rPr>
        <w:t>事业发展；</w:t>
      </w:r>
      <w:r>
        <w:rPr>
          <w:rFonts w:hint="eastAsia" w:ascii="仿宋_GB2312" w:eastAsia="仿宋_GB2312"/>
          <w:sz w:val="32"/>
          <w:szCs w:val="32"/>
        </w:rPr>
        <w:t>做好林业</w:t>
      </w:r>
      <w:r>
        <w:rPr>
          <w:rFonts w:ascii="仿宋_GB2312" w:eastAsia="仿宋_GB2312"/>
          <w:sz w:val="32"/>
          <w:szCs w:val="32"/>
        </w:rPr>
        <w:t>执法，推动全县林业建设，</w:t>
      </w:r>
      <w:r>
        <w:rPr>
          <w:rFonts w:hint="eastAsia" w:ascii="仿宋_GB2312" w:eastAsia="仿宋_GB2312"/>
          <w:sz w:val="32"/>
          <w:szCs w:val="32"/>
        </w:rPr>
        <w:t>全面</w:t>
      </w:r>
      <w:r>
        <w:rPr>
          <w:rFonts w:ascii="仿宋_GB2312" w:eastAsia="仿宋_GB2312"/>
          <w:sz w:val="32"/>
          <w:szCs w:val="32"/>
        </w:rPr>
        <w:t>做好林业</w:t>
      </w:r>
      <w:r>
        <w:rPr>
          <w:rFonts w:hint="eastAsia" w:ascii="仿宋_GB2312" w:eastAsia="仿宋_GB2312"/>
          <w:sz w:val="32"/>
          <w:szCs w:val="32"/>
        </w:rPr>
        <w:t>执法</w:t>
      </w:r>
      <w:r>
        <w:rPr>
          <w:rFonts w:ascii="仿宋_GB2312" w:eastAsia="仿宋_GB2312"/>
          <w:sz w:val="32"/>
          <w:szCs w:val="32"/>
        </w:rPr>
        <w:t>工作</w:t>
      </w:r>
      <w:r>
        <w:rPr>
          <w:rFonts w:hint="eastAsia" w:ascii="仿宋_GB2312" w:eastAsia="仿宋_GB2312"/>
          <w:sz w:val="32"/>
          <w:szCs w:val="32"/>
        </w:rPr>
        <w:t>；承办</w:t>
      </w:r>
      <w:r>
        <w:rPr>
          <w:rFonts w:hint="default" w:ascii="仿宋_GB2312" w:eastAsia="仿宋_GB2312"/>
          <w:sz w:val="32"/>
          <w:szCs w:val="32"/>
          <w:lang w:val="en"/>
        </w:rPr>
        <w:t>县委、县政府</w:t>
      </w:r>
      <w:r>
        <w:rPr>
          <w:rFonts w:hint="eastAsia" w:ascii="仿宋_GB2312" w:eastAsia="仿宋_GB2312"/>
          <w:sz w:val="32"/>
          <w:szCs w:val="32"/>
        </w:rPr>
        <w:t>和上级业务部门交办的其他工作和事项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从决算单位构成看，于田县林业派出所部门决算包括：于田县林业派出所部门本级决算、所属单位决算等。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纳入于田县林业派出所2018年部门决算编制范围的单位名单见下表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712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34"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序号</w:t>
            </w:r>
          </w:p>
        </w:tc>
        <w:tc>
          <w:tcPr>
            <w:tcW w:w="7125"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单位名称</w:t>
            </w:r>
          </w:p>
        </w:tc>
        <w:tc>
          <w:tcPr>
            <w:tcW w:w="1405"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34"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1</w:t>
            </w:r>
          </w:p>
        </w:tc>
        <w:tc>
          <w:tcPr>
            <w:tcW w:w="7125"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新疆维吾尔自治区和田地区于田县林业派出所</w:t>
            </w:r>
          </w:p>
        </w:tc>
        <w:tc>
          <w:tcPr>
            <w:tcW w:w="1405" w:type="dxa"/>
            <w:vAlign w:val="center"/>
          </w:tcPr>
          <w:p>
            <w:pPr>
              <w:spacing w:line="500" w:lineRule="exact"/>
              <w:ind w:firstLine="640" w:firstLineChars="200"/>
              <w:jc w:val="center"/>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2018年度收入146.23万元,与上年相比，增加41.25万元，增长39.29%，</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sz w:val="32"/>
          <w:szCs w:val="32"/>
        </w:rPr>
        <w:t>；支出146.23万元,与上年相比，增加41.25万元，增长39.29%，</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sz w:val="32"/>
          <w:szCs w:val="32"/>
        </w:rPr>
        <w:t>；结余0万元，与上年相比，增加0万元，增长0%。增减变化主要原因是：</w:t>
      </w:r>
      <w:r>
        <w:rPr>
          <w:rFonts w:hint="eastAsia" w:ascii="仿宋_GB2312" w:hAnsi="Times New Roman" w:eastAsia="仿宋_GB2312" w:cs="Times New Roman"/>
          <w:color w:val="auto"/>
          <w:sz w:val="32"/>
          <w:szCs w:val="32"/>
          <w:lang w:val="en-US" w:eastAsia="zh-CN"/>
        </w:rPr>
        <w:t>资金支付进度快，无结余。</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本年收入合计146.23万元，其中：财政拨款收入142.22万元，占97.258%；上级补助收入4万元，占2.735%；事业收入0万元，占0%；经营收入0万元，占0%；附属单位缴款0万元，占0%；其他收入0.02万元，占0.014%。</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与年初预算数相比情况：本年收入年初预算数102.55万元，决算数14</w:t>
      </w:r>
      <w:r>
        <w:rPr>
          <w:rFonts w:hint="eastAsia" w:ascii="仿宋_GB2312" w:eastAsia="仿宋_GB2312"/>
          <w:sz w:val="32"/>
          <w:szCs w:val="32"/>
          <w:lang w:val="en-US" w:eastAsia="zh-CN"/>
        </w:rPr>
        <w:t>6.23</w:t>
      </w:r>
      <w:r>
        <w:rPr>
          <w:rFonts w:hint="eastAsia" w:ascii="仿宋_GB2312" w:eastAsia="仿宋_GB2312"/>
          <w:sz w:val="32"/>
          <w:szCs w:val="32"/>
        </w:rPr>
        <w:t>万元，预决算差异率</w:t>
      </w:r>
      <w:r>
        <w:rPr>
          <w:rFonts w:hint="eastAsia" w:ascii="仿宋_GB2312" w:eastAsia="仿宋_GB2312"/>
          <w:sz w:val="32"/>
          <w:szCs w:val="32"/>
          <w:lang w:val="en-US" w:eastAsia="zh-CN"/>
        </w:rPr>
        <w:t>42.59</w:t>
      </w:r>
      <w:r>
        <w:rPr>
          <w:rFonts w:hint="eastAsia" w:ascii="仿宋_GB2312" w:eastAsia="仿宋_GB2312"/>
          <w:sz w:val="32"/>
          <w:szCs w:val="32"/>
        </w:rPr>
        <w:t>%，差异主要原因</w:t>
      </w:r>
      <w:r>
        <w:rPr>
          <w:rFonts w:hint="eastAsia" w:ascii="仿宋_GB2312" w:hAnsi="Times New Roman" w:eastAsia="仿宋_GB2312" w:cs="Times New Roman"/>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本年支出合计146.23万元，其中：基本支出146.23万元，占100%；项目支出0万元，占0%；上缴上级支出0万元，占0%；</w:t>
      </w:r>
      <w:r>
        <w:rPr>
          <w:rFonts w:hint="eastAsia" w:ascii="仿宋_GB2312" w:eastAsia="仿宋_GB2312"/>
          <w:spacing w:val="-6"/>
          <w:sz w:val="32"/>
          <w:szCs w:val="32"/>
        </w:rPr>
        <w:t>经营支出0万元，占0%；对附属单位补助支出0万元，占0%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与年初预算数相比情况：本年支出年初预算数102.55万元，决算数146.23万元，预决算差异率42.59%，差异主要原因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2018年度财政拨款收入142.22万元，与上年相比，增37.25万元，增长35.49%。</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。财政拨款支出142.22万元，与上年相比，增加37.26万元，增长26%，</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。其中：基本支出142.22万元，项目支出0万元。财政拨款结转结余0万元，与上年相比，增加0万元，增长0%。增减变化的主要原因是</w:t>
      </w:r>
      <w:r>
        <w:rPr>
          <w:rFonts w:hint="eastAsia" w:ascii="仿宋_GB2312" w:hAnsi="Times New Roman" w:eastAsia="仿宋_GB2312" w:cs="Times New Roman"/>
          <w:color w:val="auto"/>
          <w:sz w:val="32"/>
          <w:szCs w:val="32"/>
          <w:lang w:val="en-US" w:eastAsia="zh-CN"/>
        </w:rPr>
        <w:t>资金支付进度快，无结余。</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与年初预算数相比情况：财政拨款收入年初预算数102.55万元，决算数142.22万元，预决算差异率38.68%，差异主要</w:t>
      </w:r>
      <w:r>
        <w:rPr>
          <w:rFonts w:hint="eastAsia" w:ascii="仿宋_GB2312" w:eastAsia="仿宋_GB2312"/>
          <w:sz w:val="32"/>
          <w:szCs w:val="32"/>
          <w:lang w:eastAsia="zh-CN"/>
        </w:rPr>
        <w:t>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。财政拨款支出年初预算数102.55万元，决算数1</w:t>
      </w:r>
      <w:r>
        <w:rPr>
          <w:rFonts w:hint="eastAsia" w:ascii="仿宋_GB2312" w:eastAsia="仿宋_GB2312"/>
          <w:sz w:val="32"/>
          <w:szCs w:val="32"/>
          <w:lang w:val="en-US" w:eastAsia="zh-CN"/>
        </w:rPr>
        <w:t>42.22</w:t>
      </w:r>
      <w:r>
        <w:rPr>
          <w:rFonts w:hint="eastAsia" w:ascii="仿宋_GB2312" w:eastAsia="仿宋_GB2312"/>
          <w:sz w:val="32"/>
          <w:szCs w:val="32"/>
        </w:rPr>
        <w:t>万元，预决算差异率38.68%，差异主要原因是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2018年度一般公共预算财政拨款收入142.22万元。与上年相比，增加37.25万元，增长35.49%。</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。一般公共预算财政拨款支出142.22万元。与上年相比，增加37.25万元，增长35.49%。增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。其中：按功能分类科目，社会保障和就业支出13.6万元，农林水支出132.63万元。按经济分类科目，工资福利支出137.07万元，商品和服务支出5.14万元。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与年初预算数相比情况：一般公共预算财政拨款收入年初预算数102.55万元，决算数142.22万元，预决算差异率38.68%，差异主要原因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。一般公共预算财政拨款支出年初预算数102.55万元，决算数142.22万元，预决算差异率38.68%，差异主要原因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2018年度政府性基金预算财政拨款收入0万元，与上年相比，增加0万元，增长0%。增减主要原因是：本年无此项资金支出安排。政府性基金预算支出0万元。与上年相比，增加0万元，增长0%。增减主要原因是：本年无此项资金支出安排。其中：按功能分类科目，社会保障和就业支出</w:t>
      </w:r>
      <w:r>
        <w:rPr>
          <w:rFonts w:hint="eastAsia" w:ascii="仿宋_GB2312" w:eastAsia="仿宋_GB2312"/>
          <w:sz w:val="32"/>
          <w:szCs w:val="32"/>
          <w:lang w:val="en-US" w:eastAsia="zh-CN"/>
        </w:rPr>
        <w:t>0</w:t>
      </w:r>
      <w:r>
        <w:rPr>
          <w:rFonts w:hint="eastAsia" w:ascii="仿宋_GB2312" w:eastAsia="仿宋_GB2312"/>
          <w:sz w:val="32"/>
          <w:szCs w:val="32"/>
        </w:rPr>
        <w:t>万元，农林水支出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万元。按经济分类科目，工资福利支出</w:t>
      </w:r>
      <w:r>
        <w:rPr>
          <w:rFonts w:hint="eastAsia" w:ascii="仿宋_GB2312" w:eastAsia="仿宋_GB2312"/>
          <w:sz w:val="32"/>
          <w:szCs w:val="32"/>
          <w:lang w:val="en-US" w:eastAsia="zh-CN"/>
        </w:rPr>
        <w:t>0</w:t>
      </w:r>
      <w:r>
        <w:rPr>
          <w:rFonts w:hint="eastAsia" w:ascii="仿宋_GB2312" w:eastAsia="仿宋_GB2312"/>
          <w:sz w:val="32"/>
          <w:szCs w:val="32"/>
        </w:rPr>
        <w:t>万元，商品和服务支出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本年无此项资金支出安排。政府性基金预算财政拨款支出年初预算数0万元，决算数0万元，预决算差异率0%，差异主要原因本年无此项资金支出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年末结转结余0万元。与上年相比，增加0万元，增长0%。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2018年度一般公共预算“三公”经费支出决算0万元，比上年减少0万元，降低0%，减少原因是本年度无此项资金安排。其中，因公出国（境）费支出0万元，占0%，比上年增加0万元，增长0%，增加原因是本年度无此项资金安排；公务用车购置及运行维护费支出0万元，占0%，比上年减少0万元，降低0%，减少原因是本年度无此项资金安排；公务接待费支出0万元，占0%，比上年增加0万元，增长0%，增加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。具体情况如下：</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因公出国（境）费支出0万元。于田县</w:t>
      </w:r>
      <w:r>
        <w:rPr>
          <w:rFonts w:hint="eastAsia" w:ascii="仿宋_GB2312" w:eastAsia="仿宋_GB2312"/>
          <w:sz w:val="32"/>
          <w:szCs w:val="32"/>
          <w:lang w:eastAsia="zh-CN"/>
        </w:rPr>
        <w:t>林业派出所</w:t>
      </w:r>
      <w:r>
        <w:rPr>
          <w:rFonts w:hint="eastAsia" w:ascii="仿宋_GB2312" w:eastAsia="仿宋_GB2312"/>
          <w:sz w:val="32"/>
          <w:szCs w:val="32"/>
        </w:rPr>
        <w:t>全年使用一般公共预算财政拨款安排的出国（境）团组0个，累计0人次。开支内容包括：本年度无此项资金安排。</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公务用车购置及运行维护费0万元,其中，公务用车购置0万元，公务用车运行维护费0万元。单位一般公共财政拨款安排的公务用车购置量0辆，保有量为0辆。</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公务接待费0万元。具体是：国内公务接待支出0万元，主要是本年度无此项资金支出安排。于田县</w:t>
      </w:r>
      <w:r>
        <w:rPr>
          <w:rFonts w:hint="eastAsia" w:ascii="仿宋_GB2312" w:eastAsia="仿宋_GB2312"/>
          <w:sz w:val="32"/>
          <w:szCs w:val="32"/>
          <w:lang w:eastAsia="zh-CN"/>
        </w:rPr>
        <w:t>林业派出所</w:t>
      </w:r>
      <w:r>
        <w:rPr>
          <w:rFonts w:hint="eastAsia" w:ascii="仿宋_GB2312" w:eastAsia="仿宋_GB2312"/>
          <w:sz w:val="32"/>
          <w:szCs w:val="32"/>
        </w:rPr>
        <w:t>国内公务接待0批次，0人次。</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本年度无此项资金安排。其中：因公出国（境）费预算数0万元，决算数0万元，预决算差异率0%，差异主要原因本年度无此项资金安排；公务用车购置预算数0万元，决算数0万元，预决算差异率0%，差异主要原因本年度无此项资金安排；公务用车运行费预算数0万元，决算数0万元，预决算差异率0%，差异主要原因本年度无此项资金安排；公务接待费预算数0万元，决算数0万元，预决算差异率0%，差异主要原因本年度无此项资金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2018年度于田县林业派出所（参照公务员法管理事业单位）机关运行经费支出5.14万元，比上年减少3.07万元，降低37.40%，主要原因是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2018年度政府采购支出总额0万元，其中：政府采购货物支出0万元、政府采购工程支出0万元、政府采购服务支出0万元。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0辆，价值0万元，其中：部级领导干部用车0辆、主要领导干部用车0辆、机要通信用车0辆、应急保障用车0辆、执法执勤用车0辆、特种专业技术用车0辆、离退休干部用车0辆、其他用车0辆，其他用车主要是：无；单位价值50万元以上通用设备0台（套）、单位价值100万元以上专用设备0台（套）。</w:t>
      </w:r>
    </w:p>
    <w:p>
      <w:pPr>
        <w:spacing w:line="540" w:lineRule="exact"/>
        <w:ind w:firstLine="642" w:firstLineChars="200"/>
        <w:rPr>
          <w:rFonts w:ascii="仿宋_GB2312" w:eastAsia="仿宋_GB2312"/>
          <w:b/>
          <w:bCs/>
          <w:sz w:val="32"/>
          <w:szCs w:val="32"/>
        </w:rPr>
      </w:pPr>
      <w:r>
        <w:rPr>
          <w:rFonts w:hint="eastAsia" w:ascii="仿宋_GB2312" w:eastAsia="仿宋_GB2312"/>
          <w:b/>
          <w:bCs/>
          <w:sz w:val="32"/>
          <w:szCs w:val="32"/>
        </w:rPr>
        <w:t>（二）预算绩效情况的说明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2018年度，本部门单位预算绩效自评情况：于田县林业派出所共有项目</w:t>
      </w:r>
      <w:r>
        <w:rPr>
          <w:rFonts w:hint="eastAsia" w:ascii="仿宋_GB2312" w:eastAsia="仿宋_GB2312"/>
          <w:sz w:val="32"/>
          <w:szCs w:val="32"/>
          <w:lang w:val="en-US" w:eastAsia="zh-CN"/>
        </w:rPr>
        <w:t>0</w:t>
      </w:r>
      <w:r>
        <w:rPr>
          <w:rFonts w:hint="eastAsia" w:ascii="仿宋_GB2312" w:eastAsia="仿宋_GB2312"/>
          <w:sz w:val="32"/>
          <w:szCs w:val="32"/>
        </w:rPr>
        <w:t>个。</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p>
    <w:tbl>
      <w:tblPr>
        <w:tblStyle w:val="4"/>
        <w:tblW w:w="82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88"/>
        <w:gridCol w:w="5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2488" w:type="dxa"/>
            <w:noWrap/>
            <w:tcMar>
              <w:top w:w="15" w:type="dxa"/>
              <w:left w:w="15" w:type="dxa"/>
              <w:right w:w="15" w:type="dxa"/>
            </w:tcMar>
            <w:vAlign w:val="center"/>
          </w:tcPr>
          <w:p>
            <w:pPr>
              <w:spacing w:line="540" w:lineRule="exact"/>
              <w:ind w:firstLine="640" w:firstLineChars="200"/>
              <w:jc w:val="left"/>
              <w:rPr>
                <w:rFonts w:hint="default" w:ascii="仿宋_GB2312" w:eastAsia="仿宋_GB2312"/>
                <w:color w:val="auto"/>
                <w:sz w:val="32"/>
                <w:szCs w:val="32"/>
                <w:lang w:val="en-US"/>
              </w:rPr>
            </w:pPr>
            <w:r>
              <w:rPr>
                <w:rFonts w:hint="eastAsia" w:ascii="仿宋_GB2312" w:eastAsia="仿宋_GB2312"/>
                <w:color w:val="auto"/>
                <w:sz w:val="32"/>
                <w:szCs w:val="32"/>
                <w:lang w:val="en-US" w:eastAsia="zh-CN"/>
              </w:rPr>
              <w:t xml:space="preserve">2080505 </w:t>
            </w:r>
          </w:p>
        </w:tc>
        <w:tc>
          <w:tcPr>
            <w:tcW w:w="5790" w:type="dxa"/>
            <w:noWrap/>
            <w:tcMar>
              <w:top w:w="15" w:type="dxa"/>
              <w:left w:w="15" w:type="dxa"/>
              <w:right w:w="15" w:type="dxa"/>
            </w:tcMar>
            <w:vAlign w:val="center"/>
          </w:tcPr>
          <w:p>
            <w:pPr>
              <w:spacing w:line="540" w:lineRule="exact"/>
              <w:jc w:val="left"/>
              <w:rPr>
                <w:rFonts w:hint="default" w:ascii="仿宋_GB2312" w:eastAsia="仿宋_GB2312"/>
                <w:color w:val="auto"/>
                <w:sz w:val="32"/>
                <w:szCs w:val="32"/>
                <w:lang w:val="en-US"/>
              </w:rPr>
            </w:pPr>
            <w:r>
              <w:rPr>
                <w:rFonts w:hint="eastAsia" w:ascii="仿宋_GB2312" w:eastAsia="仿宋_GB2312"/>
                <w:color w:val="auto"/>
                <w:sz w:val="32"/>
                <w:szCs w:val="32"/>
                <w:lang w:val="en-US" w:eastAsia="zh-CN"/>
              </w:rPr>
              <w:t xml:space="preserve">机关事业单位基本养老保险缴费支出 </w:t>
            </w:r>
          </w:p>
        </w:tc>
      </w:tr>
    </w:tbl>
    <w:p>
      <w:pPr>
        <w:spacing w:line="540" w:lineRule="exact"/>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2130201     行政运行</w:t>
      </w:r>
    </w:p>
    <w:p>
      <w:pPr>
        <w:spacing w:line="540" w:lineRule="exact"/>
        <w:ind w:firstLine="640" w:firstLineChars="200"/>
        <w:rPr>
          <w:rFonts w:hint="eastAsia" w:ascii="仿宋_GB2312" w:eastAsia="仿宋_GB2312"/>
          <w:sz w:val="32"/>
          <w:szCs w:val="32"/>
        </w:rPr>
      </w:pPr>
      <w:r>
        <w:rPr>
          <w:rFonts w:hint="eastAsia" w:ascii="仿宋_GB2312" w:hAnsi="Times New Roman" w:eastAsia="仿宋_GB2312" w:cs="Times New Roman"/>
          <w:color w:val="auto"/>
          <w:sz w:val="32"/>
          <w:szCs w:val="32"/>
          <w:lang w:val="en-US" w:eastAsia="zh-CN"/>
        </w:rPr>
        <w:t>2130213     林业执法与监督</w:t>
      </w:r>
    </w:p>
    <w:p>
      <w:pPr>
        <w:spacing w:line="540" w:lineRule="exact"/>
        <w:ind w:firstLine="640" w:firstLineChars="200"/>
        <w:rPr>
          <w:rFonts w:ascii="仿宋_GB2312" w:eastAsia="仿宋_GB2312"/>
          <w:b/>
          <w:sz w:val="32"/>
          <w:szCs w:val="32"/>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七、《一般公共预算财政拨款“三公”经费支出决算表》</w:t>
      </w:r>
      <w:r>
        <w:rPr>
          <w:rFonts w:hint="eastAsia" w:ascii="仿宋_GB2312" w:eastAsia="仿宋_GB2312"/>
          <w:sz w:val="32"/>
          <w:szCs w:val="32"/>
          <w:lang w:eastAsia="zh-CN"/>
        </w:rPr>
        <w:t>（空表）</w:t>
      </w:r>
    </w:p>
    <w:p>
      <w:pPr>
        <w:ind w:firstLine="640" w:firstLineChars="200"/>
        <w:rPr>
          <w:rFonts w:hint="eastAsia" w:eastAsia="仿宋_GB2312"/>
          <w:lang w:eastAsia="zh-CN"/>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r>
        <w:rPr>
          <w:rFonts w:hint="eastAsia" w:ascii="仿宋_GB2312" w:eastAsia="仿宋_GB2312"/>
          <w:sz w:val="32"/>
          <w:szCs w:val="32"/>
          <w:lang w:eastAsia="zh-CN"/>
        </w:rPr>
        <w:t>（空表</w:t>
      </w:r>
      <w:bookmarkStart w:id="0" w:name="_GoBack"/>
      <w:bookmarkEnd w:id="0"/>
      <w:r>
        <w:rPr>
          <w:rFonts w:hint="eastAsia" w:ascii="仿宋_GB2312" w:eastAsia="仿宋_GB2312"/>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1A45"/>
    <w:rsid w:val="0018533A"/>
    <w:rsid w:val="002806E3"/>
    <w:rsid w:val="002E67DD"/>
    <w:rsid w:val="002F615E"/>
    <w:rsid w:val="00566D8E"/>
    <w:rsid w:val="00941A45"/>
    <w:rsid w:val="00BD0F9B"/>
    <w:rsid w:val="00D26183"/>
    <w:rsid w:val="00DE3932"/>
    <w:rsid w:val="04C351C8"/>
    <w:rsid w:val="0B7025F0"/>
    <w:rsid w:val="0EA45802"/>
    <w:rsid w:val="15696E60"/>
    <w:rsid w:val="1A36479C"/>
    <w:rsid w:val="1B615E8D"/>
    <w:rsid w:val="1C335A3E"/>
    <w:rsid w:val="20F4214F"/>
    <w:rsid w:val="24675B35"/>
    <w:rsid w:val="24FF6D18"/>
    <w:rsid w:val="25832AA0"/>
    <w:rsid w:val="262D4FED"/>
    <w:rsid w:val="2FB30212"/>
    <w:rsid w:val="30706B00"/>
    <w:rsid w:val="30897181"/>
    <w:rsid w:val="332D7DA0"/>
    <w:rsid w:val="3781690B"/>
    <w:rsid w:val="3C544ED9"/>
    <w:rsid w:val="3D4232F4"/>
    <w:rsid w:val="44AB26EA"/>
    <w:rsid w:val="47B40900"/>
    <w:rsid w:val="4CE85FB7"/>
    <w:rsid w:val="4DCA0BCC"/>
    <w:rsid w:val="4ECF6DCE"/>
    <w:rsid w:val="4FB25E52"/>
    <w:rsid w:val="6504344B"/>
    <w:rsid w:val="670D5CC7"/>
    <w:rsid w:val="678E5225"/>
    <w:rsid w:val="69F04E99"/>
    <w:rsid w:val="70402B48"/>
    <w:rsid w:val="72BA4D47"/>
    <w:rsid w:val="79A14BB7"/>
    <w:rsid w:val="7A264204"/>
    <w:rsid w:val="7AE27AC6"/>
    <w:rsid w:val="7E927A5B"/>
    <w:rsid w:val="7EC27CE3"/>
    <w:rsid w:val="7FCA6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772</Words>
  <Characters>4405</Characters>
  <Lines>36</Lines>
  <Paragraphs>10</Paragraphs>
  <TotalTime>6</TotalTime>
  <ScaleCrop>false</ScaleCrop>
  <LinksUpToDate>false</LinksUpToDate>
  <CharactersWithSpaces>5167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2019-06-10T18:49:00Z</dcterms:created>
  <dc:creator>Windows 用户</dc:creator>
  <cp:lastModifiedBy>zfbgs</cp:lastModifiedBy>
  <dcterms:modified xsi:type="dcterms:W3CDTF">2024-04-18T16:21:58Z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