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2018年度于田县胡杨林管理站部门决算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（二）预算绩效情况的说明</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黑体" w:hAnsi="黑体" w:eastAsia="黑体"/>
          <w:szCs w:val="21"/>
        </w:rPr>
      </w:pPr>
      <w:r>
        <w:rPr>
          <w:rFonts w:hint="eastAsia" w:ascii="仿宋_GB2312" w:eastAsia="仿宋_GB2312"/>
          <w:sz w:val="32"/>
          <w:szCs w:val="32"/>
        </w:rPr>
        <w:t>《政府性基金预算财政拨款收入支出决算表》</w:t>
      </w:r>
    </w:p>
    <w:p>
      <w:pPr>
        <w:spacing w:beforeLines="100"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360" w:lineRule="auto"/>
        <w:rPr>
          <w:rFonts w:eastAsia="仿宋_GB2312"/>
          <w:sz w:val="32"/>
          <w:szCs w:val="32"/>
        </w:rPr>
      </w:pPr>
      <w:r>
        <w:rPr>
          <w:rFonts w:hint="eastAsia" w:ascii="仿宋_GB2312" w:eastAsia="仿宋_GB2312"/>
          <w:sz w:val="32"/>
          <w:szCs w:val="32"/>
        </w:rPr>
        <w:t>贯彻执行有关国家法律、法规和方针政策，</w:t>
      </w:r>
      <w:r>
        <w:rPr>
          <w:rFonts w:ascii="仿宋_GB2312" w:eastAsia="仿宋_GB2312"/>
          <w:sz w:val="32"/>
          <w:szCs w:val="32"/>
        </w:rPr>
        <w:t>组织编</w:t>
      </w:r>
      <w:r>
        <w:rPr>
          <w:rFonts w:hint="eastAsia" w:ascii="仿宋_GB2312" w:eastAsia="仿宋_GB2312"/>
          <w:sz w:val="32"/>
          <w:szCs w:val="32"/>
        </w:rPr>
        <w:t>制</w:t>
      </w:r>
      <w:r>
        <w:rPr>
          <w:rFonts w:ascii="仿宋_GB2312" w:eastAsia="仿宋_GB2312"/>
          <w:sz w:val="32"/>
          <w:szCs w:val="32"/>
        </w:rPr>
        <w:t>和实施于田县林业发展总体规划</w:t>
      </w:r>
      <w:r>
        <w:rPr>
          <w:rFonts w:hint="eastAsia" w:ascii="仿宋_GB2312" w:eastAsia="仿宋_GB2312"/>
          <w:sz w:val="32"/>
          <w:szCs w:val="32"/>
        </w:rPr>
        <w:t>、</w:t>
      </w:r>
      <w:r>
        <w:rPr>
          <w:rFonts w:ascii="仿宋_GB2312" w:eastAsia="仿宋_GB2312"/>
          <w:sz w:val="32"/>
          <w:szCs w:val="32"/>
        </w:rPr>
        <w:t>防</w:t>
      </w:r>
      <w:r>
        <w:rPr>
          <w:rFonts w:hint="eastAsia" w:ascii="仿宋_GB2312" w:eastAsia="仿宋_GB2312"/>
          <w:sz w:val="32"/>
          <w:szCs w:val="32"/>
        </w:rPr>
        <w:t>沙</w:t>
      </w:r>
      <w:r>
        <w:rPr>
          <w:rFonts w:ascii="仿宋_GB2312" w:eastAsia="仿宋_GB2312"/>
          <w:sz w:val="32"/>
          <w:szCs w:val="32"/>
        </w:rPr>
        <w:t>治沙发展规划、</w:t>
      </w:r>
      <w:r>
        <w:rPr>
          <w:rFonts w:hint="eastAsia" w:ascii="仿宋_GB2312" w:eastAsia="仿宋_GB2312"/>
          <w:sz w:val="32"/>
          <w:szCs w:val="32"/>
        </w:rPr>
        <w:t>林</w:t>
      </w:r>
      <w:r>
        <w:rPr>
          <w:rFonts w:ascii="仿宋_GB2312" w:eastAsia="仿宋_GB2312"/>
          <w:sz w:val="32"/>
          <w:szCs w:val="32"/>
        </w:rPr>
        <w:t>地保护利用总体发展规划等；</w:t>
      </w:r>
      <w:r>
        <w:rPr>
          <w:rFonts w:hint="eastAsia" w:ascii="仿宋_GB2312" w:eastAsia="仿宋_GB2312"/>
          <w:sz w:val="32"/>
          <w:szCs w:val="32"/>
        </w:rPr>
        <w:t>组织人</w:t>
      </w:r>
      <w:r>
        <w:rPr>
          <w:rFonts w:ascii="仿宋_GB2312" w:eastAsia="仿宋_GB2312"/>
          <w:sz w:val="32"/>
          <w:szCs w:val="32"/>
        </w:rPr>
        <w:t>员对全县森</w:t>
      </w:r>
      <w:r>
        <w:rPr>
          <w:rFonts w:hint="eastAsia" w:ascii="仿宋_GB2312" w:eastAsia="仿宋_GB2312"/>
          <w:sz w:val="32"/>
          <w:szCs w:val="32"/>
        </w:rPr>
        <w:t>林资源的管理和保护，森林资源不受侵害和破坏，特别是禁止牲畜侵入或人为地乱砍滥伐破坏森林</w:t>
      </w:r>
      <w:r>
        <w:rPr>
          <w:rFonts w:ascii="仿宋_GB2312" w:eastAsia="仿宋_GB2312"/>
          <w:sz w:val="32"/>
          <w:szCs w:val="32"/>
        </w:rPr>
        <w:t>，</w:t>
      </w:r>
      <w:r>
        <w:rPr>
          <w:rFonts w:hint="eastAsia" w:ascii="仿宋_GB2312" w:eastAsia="仿宋_GB2312"/>
          <w:sz w:val="32"/>
          <w:szCs w:val="32"/>
        </w:rPr>
        <w:t>护林防火，</w:t>
      </w:r>
      <w:r>
        <w:rPr>
          <w:rFonts w:ascii="仿宋_GB2312" w:eastAsia="仿宋_GB2312"/>
          <w:sz w:val="32"/>
          <w:szCs w:val="32"/>
        </w:rPr>
        <w:t>推动全县林业建设，</w:t>
      </w:r>
      <w:r>
        <w:rPr>
          <w:rFonts w:hint="eastAsia" w:ascii="仿宋_GB2312" w:eastAsia="仿宋_GB2312"/>
          <w:sz w:val="32"/>
          <w:szCs w:val="32"/>
        </w:rPr>
        <w:t>全面</w:t>
      </w:r>
      <w:r>
        <w:rPr>
          <w:rFonts w:ascii="仿宋_GB2312" w:eastAsia="仿宋_GB2312"/>
          <w:sz w:val="32"/>
          <w:szCs w:val="32"/>
        </w:rPr>
        <w:t>做好林业技术服务工作</w:t>
      </w:r>
      <w:r>
        <w:rPr>
          <w:rFonts w:hint="eastAsia" w:ascii="仿宋_GB2312" w:eastAsia="仿宋_GB2312"/>
          <w:sz w:val="32"/>
          <w:szCs w:val="32"/>
        </w:rPr>
        <w:t>；承办</w:t>
      </w:r>
      <w:r>
        <w:rPr>
          <w:rFonts w:hint="default" w:ascii="仿宋_GB2312" w:eastAsia="仿宋_GB2312"/>
          <w:sz w:val="32"/>
          <w:szCs w:val="32"/>
          <w:lang w:val="en"/>
        </w:rPr>
        <w:t>县委、县政府</w:t>
      </w:r>
      <w:r>
        <w:rPr>
          <w:rFonts w:hint="eastAsia" w:ascii="仿宋_GB2312" w:eastAsia="仿宋_GB2312"/>
          <w:sz w:val="32"/>
          <w:szCs w:val="32"/>
        </w:rPr>
        <w:t>和上级业务部门交办的其他工作和事项 。</w:t>
      </w:r>
    </w:p>
    <w:p>
      <w:pPr>
        <w:spacing w:beforeLines="100"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从决算单位构成看，于田县胡杨林管理站部门决算包括：于田县胡杨林管理站部门本级决算、所属单位决算等。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纳入于田县胡杨林管理站2018年部门决算编制范围的单位名单见下表</w:t>
      </w:r>
      <w:r>
        <w:rPr>
          <w:rFonts w:hint="eastAsia" w:ascii="仿宋_GB2312" w:eastAsia="仿宋_GB2312"/>
          <w:spacing w:val="-6"/>
          <w:sz w:val="32"/>
          <w:szCs w:val="32"/>
        </w:rPr>
        <w:t>：</w:t>
      </w:r>
    </w:p>
    <w:p>
      <w:pPr>
        <w:spacing w:line="500" w:lineRule="exact"/>
        <w:ind w:firstLine="616" w:firstLineChars="200"/>
        <w:rPr>
          <w:rFonts w:ascii="仿宋_GB2312" w:eastAsia="仿宋_GB2312"/>
          <w:spacing w:val="-6"/>
          <w:sz w:val="32"/>
          <w:szCs w:val="32"/>
        </w:rPr>
      </w:pPr>
    </w:p>
    <w:tbl>
      <w:tblPr>
        <w:tblStyle w:val="4"/>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7079"/>
        <w:gridCol w:w="1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59" w:type="dxa"/>
            <w:vAlign w:val="center"/>
          </w:tcPr>
          <w:p>
            <w:pPr>
              <w:spacing w:line="500" w:lineRule="exact"/>
              <w:jc w:val="center"/>
              <w:rPr>
                <w:rFonts w:ascii="仿宋_GB2312" w:eastAsia="仿宋_GB2312"/>
                <w:sz w:val="32"/>
                <w:szCs w:val="32"/>
              </w:rPr>
            </w:pPr>
            <w:r>
              <w:rPr>
                <w:rFonts w:hint="eastAsia" w:ascii="仿宋_GB2312" w:eastAsia="仿宋_GB2312"/>
                <w:sz w:val="32"/>
                <w:szCs w:val="32"/>
              </w:rPr>
              <w:t>序号</w:t>
            </w:r>
          </w:p>
        </w:tc>
        <w:tc>
          <w:tcPr>
            <w:tcW w:w="7079" w:type="dxa"/>
            <w:vAlign w:val="center"/>
          </w:tcPr>
          <w:p>
            <w:pPr>
              <w:spacing w:line="500" w:lineRule="exact"/>
              <w:jc w:val="center"/>
              <w:rPr>
                <w:rFonts w:ascii="仿宋_GB2312" w:eastAsia="仿宋_GB2312"/>
                <w:sz w:val="32"/>
                <w:szCs w:val="32"/>
              </w:rPr>
            </w:pPr>
            <w:r>
              <w:rPr>
                <w:rFonts w:hint="eastAsia" w:ascii="仿宋_GB2312" w:eastAsia="仿宋_GB2312"/>
                <w:sz w:val="32"/>
                <w:szCs w:val="32"/>
              </w:rPr>
              <w:t>单位名称</w:t>
            </w:r>
          </w:p>
        </w:tc>
        <w:tc>
          <w:tcPr>
            <w:tcW w:w="1426" w:type="dxa"/>
            <w:vAlign w:val="center"/>
          </w:tcPr>
          <w:p>
            <w:pPr>
              <w:spacing w:line="500" w:lineRule="exact"/>
              <w:jc w:val="center"/>
              <w:rPr>
                <w:rFonts w:ascii="仿宋_GB2312" w:eastAsia="仿宋_GB2312"/>
                <w:sz w:val="32"/>
                <w:szCs w:val="32"/>
              </w:rPr>
            </w:pPr>
            <w:r>
              <w:rPr>
                <w:rFonts w:hint="eastAsia" w:ascii="仿宋_GB2312" w:eastAsia="仿宋_GB2312"/>
                <w:sz w:val="32"/>
                <w:szCs w:val="32"/>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59" w:type="dxa"/>
            <w:vAlign w:val="center"/>
          </w:tcPr>
          <w:p>
            <w:pPr>
              <w:spacing w:line="500" w:lineRule="exact"/>
              <w:jc w:val="center"/>
              <w:rPr>
                <w:rFonts w:ascii="仿宋_GB2312" w:eastAsia="仿宋_GB2312"/>
                <w:sz w:val="32"/>
                <w:szCs w:val="32"/>
              </w:rPr>
            </w:pPr>
            <w:r>
              <w:rPr>
                <w:rFonts w:hint="eastAsia" w:ascii="仿宋_GB2312" w:eastAsia="仿宋_GB2312"/>
                <w:sz w:val="32"/>
                <w:szCs w:val="32"/>
              </w:rPr>
              <w:t>1</w:t>
            </w:r>
          </w:p>
        </w:tc>
        <w:tc>
          <w:tcPr>
            <w:tcW w:w="7079" w:type="dxa"/>
            <w:vAlign w:val="center"/>
          </w:tcPr>
          <w:p>
            <w:pPr>
              <w:spacing w:line="500" w:lineRule="exact"/>
              <w:rPr>
                <w:rFonts w:ascii="仿宋_GB2312" w:eastAsia="仿宋_GB2312"/>
                <w:sz w:val="32"/>
                <w:szCs w:val="32"/>
              </w:rPr>
            </w:pPr>
            <w:r>
              <w:rPr>
                <w:rFonts w:hint="eastAsia" w:ascii="仿宋_GB2312" w:eastAsia="仿宋_GB2312"/>
                <w:sz w:val="32"/>
                <w:szCs w:val="32"/>
              </w:rPr>
              <w:t>新疆维吾尔自治区和田地区于田县胡杨林管理站</w:t>
            </w:r>
          </w:p>
        </w:tc>
        <w:tc>
          <w:tcPr>
            <w:tcW w:w="1426" w:type="dxa"/>
            <w:vAlign w:val="center"/>
          </w:tcPr>
          <w:p>
            <w:pPr>
              <w:spacing w:line="500" w:lineRule="exact"/>
              <w:ind w:firstLine="640" w:firstLineChars="200"/>
              <w:rPr>
                <w:rFonts w:ascii="仿宋_GB2312" w:eastAsia="仿宋_GB2312"/>
                <w:sz w:val="32"/>
                <w:szCs w:val="32"/>
              </w:rPr>
            </w:pPr>
          </w:p>
        </w:tc>
      </w:tr>
    </w:tbl>
    <w:p>
      <w:pPr>
        <w:spacing w:line="500" w:lineRule="exact"/>
        <w:ind w:firstLine="627"/>
        <w:jc w:val="center"/>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2"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widowControl w:val="0"/>
        <w:numPr>
          <w:ilvl w:val="0"/>
          <w:numId w:val="1"/>
        </w:numPr>
        <w:jc w:val="both"/>
        <w:rPr>
          <w:rFonts w:hint="eastAsia" w:ascii="仿宋_GB2312" w:hAnsi="Times New Roman" w:eastAsia="仿宋_GB2312" w:cs="Times New Roman"/>
          <w:color w:val="auto"/>
          <w:sz w:val="32"/>
          <w:szCs w:val="32"/>
          <w:lang w:val="en-US" w:eastAsia="zh-CN"/>
        </w:rPr>
      </w:pPr>
      <w:r>
        <w:rPr>
          <w:rFonts w:hint="eastAsia" w:ascii="仿宋_GB2312" w:eastAsia="仿宋_GB2312"/>
          <w:sz w:val="32"/>
          <w:szCs w:val="32"/>
        </w:rPr>
        <w:t>2018年度收入102.47万元,与上年相比，增加37.15万元，增长56.88%，增</w:t>
      </w:r>
      <w:r>
        <w:rPr>
          <w:rFonts w:hint="eastAsia" w:ascii="仿宋_GB2312" w:eastAsia="仿宋_GB2312"/>
          <w:sz w:val="32"/>
          <w:szCs w:val="32"/>
          <w:lang w:eastAsia="zh-CN"/>
        </w:rPr>
        <w:t>加</w:t>
      </w:r>
      <w:r>
        <w:rPr>
          <w:rFonts w:hint="eastAsia" w:ascii="仿宋_GB2312" w:eastAsia="仿宋_GB2312"/>
          <w:sz w:val="32"/>
          <w:szCs w:val="32"/>
        </w:rPr>
        <w:t>主要原因是：</w:t>
      </w:r>
      <w:r>
        <w:rPr>
          <w:rFonts w:hint="eastAsia" w:ascii="仿宋_GB2312" w:eastAsia="仿宋_GB2312"/>
          <w:color w:val="auto"/>
          <w:sz w:val="32"/>
          <w:szCs w:val="32"/>
          <w:lang w:eastAsia="zh-CN"/>
        </w:rPr>
        <w:t>本年度业务量增加，经费支出增加</w:t>
      </w:r>
      <w:r>
        <w:rPr>
          <w:rFonts w:hint="eastAsia" w:ascii="仿宋_GB2312" w:eastAsia="仿宋_GB2312"/>
          <w:sz w:val="32"/>
          <w:szCs w:val="32"/>
        </w:rPr>
        <w:t>；支出103.07万元,与上年相比，增加37.75万元，增长57.79%，增</w:t>
      </w:r>
      <w:r>
        <w:rPr>
          <w:rFonts w:hint="eastAsia" w:ascii="仿宋_GB2312" w:eastAsia="仿宋_GB2312"/>
          <w:sz w:val="32"/>
          <w:szCs w:val="32"/>
          <w:lang w:eastAsia="zh-CN"/>
        </w:rPr>
        <w:t>加</w:t>
      </w:r>
      <w:r>
        <w:rPr>
          <w:rFonts w:hint="eastAsia" w:ascii="仿宋_GB2312" w:eastAsia="仿宋_GB2312"/>
          <w:sz w:val="32"/>
          <w:szCs w:val="32"/>
        </w:rPr>
        <w:t>主要原因是：</w:t>
      </w:r>
      <w:r>
        <w:rPr>
          <w:rFonts w:hint="eastAsia" w:ascii="仿宋_GB2312" w:eastAsia="仿宋_GB2312"/>
          <w:color w:val="auto"/>
          <w:sz w:val="32"/>
          <w:szCs w:val="32"/>
          <w:lang w:eastAsia="zh-CN"/>
        </w:rPr>
        <w:t>本年度业务量增加，经费支出增加</w:t>
      </w:r>
      <w:r>
        <w:rPr>
          <w:rFonts w:hint="eastAsia" w:ascii="仿宋_GB2312" w:eastAsia="仿宋_GB2312"/>
          <w:sz w:val="32"/>
          <w:szCs w:val="32"/>
        </w:rPr>
        <w:t>；结余0万元。与上年相比，增加0万元，增长0%。增</w:t>
      </w:r>
      <w:r>
        <w:rPr>
          <w:rFonts w:hint="eastAsia" w:ascii="仿宋_GB2312" w:eastAsia="仿宋_GB2312"/>
          <w:sz w:val="32"/>
          <w:szCs w:val="32"/>
          <w:lang w:eastAsia="zh-CN"/>
        </w:rPr>
        <w:t>加</w:t>
      </w:r>
      <w:r>
        <w:rPr>
          <w:rFonts w:hint="eastAsia" w:ascii="仿宋_GB2312" w:eastAsia="仿宋_GB2312"/>
          <w:sz w:val="32"/>
          <w:szCs w:val="32"/>
        </w:rPr>
        <w:t>主要原因是：</w:t>
      </w:r>
      <w:r>
        <w:rPr>
          <w:rFonts w:hint="eastAsia" w:ascii="仿宋_GB2312" w:hAnsi="Times New Roman" w:eastAsia="仿宋_GB2312" w:cs="Times New Roman"/>
          <w:color w:val="auto"/>
          <w:sz w:val="32"/>
          <w:szCs w:val="32"/>
          <w:lang w:val="en-US" w:eastAsia="zh-CN"/>
        </w:rPr>
        <w:t>资金支付进度快，无结余。</w:t>
      </w:r>
    </w:p>
    <w:p>
      <w:pPr>
        <w:spacing w:line="540" w:lineRule="exact"/>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本年收入合计102.47万元，其中：财政拨款收入94.44万元，占92.16%；上级补助收入</w:t>
      </w:r>
      <w:r>
        <w:rPr>
          <w:rFonts w:hint="eastAsia" w:ascii="仿宋_GB2312" w:eastAsia="仿宋_GB2312"/>
          <w:color w:val="auto"/>
          <w:sz w:val="32"/>
          <w:szCs w:val="32"/>
          <w:lang w:val="en-US" w:eastAsia="zh-CN"/>
        </w:rPr>
        <w:t>8</w:t>
      </w:r>
      <w:r>
        <w:rPr>
          <w:rFonts w:hint="eastAsia" w:ascii="仿宋_GB2312" w:eastAsia="仿宋_GB2312"/>
          <w:color w:val="auto"/>
          <w:sz w:val="32"/>
          <w:szCs w:val="32"/>
        </w:rPr>
        <w:t>万元，占</w:t>
      </w:r>
      <w:r>
        <w:rPr>
          <w:rFonts w:hint="eastAsia" w:ascii="仿宋_GB2312" w:eastAsia="仿宋_GB2312"/>
          <w:color w:val="auto"/>
          <w:sz w:val="32"/>
          <w:szCs w:val="32"/>
          <w:lang w:val="en-US" w:eastAsia="zh-CN"/>
        </w:rPr>
        <w:t>7.81</w:t>
      </w:r>
      <w:r>
        <w:rPr>
          <w:rFonts w:hint="eastAsia" w:ascii="仿宋_GB2312" w:eastAsia="仿宋_GB2312"/>
          <w:color w:val="auto"/>
          <w:sz w:val="32"/>
          <w:szCs w:val="32"/>
        </w:rPr>
        <w:t>%；事业收入0万元，占0%；经营收入0万元，占0%；附属单位缴款0万元，占0%；其他收入0.03万元，占0.03%。</w:t>
      </w:r>
    </w:p>
    <w:p>
      <w:pPr>
        <w:widowControl w:val="0"/>
        <w:numPr>
          <w:ilvl w:val="0"/>
          <w:numId w:val="1"/>
        </w:numPr>
        <w:jc w:val="both"/>
        <w:rPr>
          <w:rFonts w:ascii="仿宋_GB2312" w:eastAsia="仿宋_GB2312"/>
          <w:sz w:val="32"/>
          <w:szCs w:val="32"/>
        </w:rPr>
      </w:pPr>
      <w:r>
        <w:rPr>
          <w:rFonts w:hint="eastAsia" w:ascii="仿宋_GB2312" w:eastAsia="仿宋_GB2312"/>
          <w:sz w:val="32"/>
          <w:szCs w:val="32"/>
        </w:rPr>
        <w:t>与年初预算数相比情况：本年收入年初预算数66.06万元，决算数102.47万元，预决算差异率55.12%，差异主要原因</w:t>
      </w:r>
      <w:r>
        <w:rPr>
          <w:rFonts w:hint="eastAsia" w:ascii="仿宋_GB2312" w:eastAsia="仿宋_GB2312"/>
          <w:color w:val="auto"/>
          <w:sz w:val="32"/>
          <w:szCs w:val="32"/>
          <w:lang w:eastAsia="zh-CN"/>
        </w:rPr>
        <w:t>本年度业务量增加，经费支出增加</w:t>
      </w:r>
      <w:r>
        <w:rPr>
          <w:rFonts w:hint="eastAsia" w:ascii="仿宋_GB2312" w:eastAsia="仿宋_GB2312"/>
          <w:sz w:val="32"/>
          <w:szCs w:val="32"/>
        </w:rPr>
        <w:t>。</w:t>
      </w:r>
    </w:p>
    <w:p>
      <w:pPr>
        <w:spacing w:line="540" w:lineRule="exact"/>
        <w:ind w:firstLine="642"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本年支出合计103.07万元，其中：基本支出93.07万元，占90.3%；项目支出10万元，占9.7%；上缴上级支出0万元，占0%；</w:t>
      </w:r>
      <w:r>
        <w:rPr>
          <w:rFonts w:hint="eastAsia" w:ascii="仿宋_GB2312" w:eastAsia="仿宋_GB2312"/>
          <w:spacing w:val="-6"/>
          <w:sz w:val="32"/>
          <w:szCs w:val="32"/>
        </w:rPr>
        <w:t>经营支出0万元，占0%；对附属单位补助支出0万元，占0%。</w:t>
      </w:r>
    </w:p>
    <w:p>
      <w:pPr>
        <w:widowControl w:val="0"/>
        <w:numPr>
          <w:ilvl w:val="0"/>
          <w:numId w:val="1"/>
        </w:numPr>
        <w:jc w:val="both"/>
        <w:rPr>
          <w:rFonts w:ascii="仿宋_GB2312" w:eastAsia="仿宋_GB2312"/>
          <w:sz w:val="32"/>
          <w:szCs w:val="32"/>
        </w:rPr>
      </w:pPr>
      <w:r>
        <w:rPr>
          <w:rFonts w:hint="eastAsia" w:ascii="仿宋_GB2312" w:eastAsia="仿宋_GB2312"/>
          <w:sz w:val="32"/>
          <w:szCs w:val="32"/>
        </w:rPr>
        <w:t>与年初预算数相比情况：本年支出年初预算数66.06万元，决算数103.07万元，预决算差异率56.02%，差异主要原因</w:t>
      </w:r>
      <w:r>
        <w:rPr>
          <w:rFonts w:hint="eastAsia" w:ascii="仿宋_GB2312" w:eastAsia="仿宋_GB2312"/>
          <w:color w:val="auto"/>
          <w:sz w:val="32"/>
          <w:szCs w:val="32"/>
          <w:lang w:eastAsia="zh-CN"/>
        </w:rPr>
        <w:t>本年度业务量增加，经费支出增加</w:t>
      </w:r>
      <w:r>
        <w:rPr>
          <w:rFonts w:hint="eastAsia" w:ascii="仿宋_GB2312" w:eastAsia="仿宋_GB2312"/>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2"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widowControl w:val="0"/>
        <w:numPr>
          <w:ilvl w:val="0"/>
          <w:numId w:val="0"/>
        </w:numPr>
        <w:ind w:firstLine="640" w:firstLineChars="200"/>
        <w:jc w:val="both"/>
        <w:rPr>
          <w:rFonts w:ascii="仿宋_GB2312" w:eastAsia="仿宋_GB2312"/>
          <w:sz w:val="32"/>
          <w:szCs w:val="32"/>
        </w:rPr>
      </w:pPr>
      <w:r>
        <w:rPr>
          <w:rFonts w:hint="eastAsia" w:ascii="仿宋_GB2312" w:eastAsia="仿宋_GB2312"/>
          <w:sz w:val="32"/>
          <w:szCs w:val="32"/>
        </w:rPr>
        <w:t>2018年度财政拨款收入94.44万元，与上年相比，增加29.13万元，增长44.59%。增</w:t>
      </w:r>
      <w:r>
        <w:rPr>
          <w:rFonts w:hint="eastAsia" w:ascii="仿宋_GB2312" w:eastAsia="仿宋_GB2312"/>
          <w:sz w:val="32"/>
          <w:szCs w:val="32"/>
          <w:lang w:eastAsia="zh-CN"/>
        </w:rPr>
        <w:t>加</w:t>
      </w:r>
      <w:r>
        <w:rPr>
          <w:rFonts w:hint="eastAsia" w:ascii="仿宋_GB2312" w:eastAsia="仿宋_GB2312"/>
          <w:sz w:val="32"/>
          <w:szCs w:val="32"/>
        </w:rPr>
        <w:t>主要原因是：</w:t>
      </w:r>
      <w:r>
        <w:rPr>
          <w:rFonts w:hint="eastAsia" w:ascii="仿宋_GB2312" w:eastAsia="仿宋_GB2312"/>
          <w:color w:val="auto"/>
          <w:sz w:val="32"/>
          <w:szCs w:val="32"/>
          <w:lang w:eastAsia="zh-CN"/>
        </w:rPr>
        <w:t>本年度业务量增加，经费支出增加</w:t>
      </w:r>
      <w:r>
        <w:rPr>
          <w:rFonts w:hint="eastAsia" w:ascii="仿宋_GB2312" w:eastAsia="仿宋_GB2312"/>
          <w:sz w:val="32"/>
          <w:szCs w:val="32"/>
        </w:rPr>
        <w:t>。财政拨款支出94.44万元，与上年相比，增加29.13万元，增长44.59%，</w:t>
      </w:r>
      <w:r>
        <w:rPr>
          <w:rFonts w:hint="eastAsia" w:ascii="仿宋_GB2312" w:eastAsia="仿宋_GB2312"/>
          <w:sz w:val="32"/>
          <w:szCs w:val="32"/>
          <w:lang w:eastAsia="zh-CN"/>
        </w:rPr>
        <w:t>增加</w:t>
      </w:r>
      <w:r>
        <w:rPr>
          <w:rFonts w:hint="eastAsia" w:ascii="仿宋_GB2312" w:eastAsia="仿宋_GB2312"/>
          <w:sz w:val="32"/>
          <w:szCs w:val="32"/>
        </w:rPr>
        <w:t>主要原因是：</w:t>
      </w:r>
      <w:r>
        <w:rPr>
          <w:rFonts w:hint="eastAsia" w:ascii="仿宋_GB2312" w:eastAsia="仿宋_GB2312"/>
          <w:color w:val="auto"/>
          <w:sz w:val="32"/>
          <w:szCs w:val="32"/>
          <w:lang w:eastAsia="zh-CN"/>
        </w:rPr>
        <w:t>本年度业务量增加，经费支出增加</w:t>
      </w:r>
      <w:r>
        <w:rPr>
          <w:rFonts w:hint="eastAsia" w:ascii="仿宋_GB2312" w:eastAsia="仿宋_GB2312"/>
          <w:sz w:val="32"/>
          <w:szCs w:val="32"/>
        </w:rPr>
        <w:t>。其中：基本支出84.44万元，项目支出10万元。财政拨款结转结余0万元，与上年相比，增加0万元，增长0%。增</w:t>
      </w:r>
      <w:r>
        <w:rPr>
          <w:rFonts w:hint="eastAsia" w:ascii="仿宋_GB2312" w:eastAsia="仿宋_GB2312"/>
          <w:sz w:val="32"/>
          <w:szCs w:val="32"/>
          <w:lang w:eastAsia="zh-CN"/>
        </w:rPr>
        <w:t>加</w:t>
      </w:r>
      <w:r>
        <w:rPr>
          <w:rFonts w:hint="eastAsia" w:ascii="仿宋_GB2312" w:eastAsia="仿宋_GB2312"/>
          <w:sz w:val="32"/>
          <w:szCs w:val="32"/>
        </w:rPr>
        <w:t>主要原因是：</w:t>
      </w:r>
      <w:r>
        <w:rPr>
          <w:rFonts w:hint="eastAsia" w:ascii="仿宋_GB2312" w:hAnsi="Times New Roman" w:eastAsia="仿宋_GB2312" w:cs="Times New Roman"/>
          <w:color w:val="auto"/>
          <w:sz w:val="32"/>
          <w:szCs w:val="32"/>
          <w:lang w:val="en-US" w:eastAsia="zh-CN"/>
        </w:rPr>
        <w:t>资金支付进度快，本年度结余减少</w:t>
      </w:r>
      <w:r>
        <w:rPr>
          <w:rFonts w:hint="eastAsia" w:ascii="仿宋_GB2312" w:eastAsia="仿宋_GB2312"/>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与年初预算数相比情况：财政拨款收入年初预算数66.06万元，决算数94.44万元，预决算差异率42.96%，差异主要原因</w:t>
      </w:r>
      <w:r>
        <w:rPr>
          <w:rFonts w:hint="eastAsia" w:ascii="仿宋_GB2312" w:eastAsia="仿宋_GB2312"/>
          <w:color w:val="auto"/>
          <w:sz w:val="32"/>
          <w:szCs w:val="32"/>
          <w:lang w:eastAsia="zh-CN"/>
        </w:rPr>
        <w:t>本年度业务量增加，经费支出增加</w:t>
      </w:r>
      <w:r>
        <w:rPr>
          <w:rFonts w:hint="eastAsia" w:ascii="仿宋_GB2312" w:eastAsia="仿宋_GB2312"/>
          <w:sz w:val="32"/>
          <w:szCs w:val="32"/>
        </w:rPr>
        <w:t>。财政拨款支出年初预算数66.06万元，决算数94.44万元，预决算差异率42.96%，差异主要原因</w:t>
      </w:r>
      <w:r>
        <w:rPr>
          <w:rFonts w:hint="eastAsia" w:ascii="仿宋_GB2312" w:eastAsia="仿宋_GB2312"/>
          <w:color w:val="auto"/>
          <w:sz w:val="32"/>
          <w:szCs w:val="32"/>
          <w:lang w:eastAsia="zh-CN"/>
        </w:rPr>
        <w:t>本年度业务量增加，经费支出增加。</w:t>
      </w:r>
    </w:p>
    <w:p>
      <w:pPr>
        <w:spacing w:line="540" w:lineRule="exact"/>
        <w:ind w:firstLine="642"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2018年度一般公共预算财政拨款收入94.44万元。与上年相比，增加29.12万元，增长30.83%</w:t>
      </w:r>
      <w:r>
        <w:rPr>
          <w:rFonts w:hint="eastAsia" w:ascii="仿宋_GB2312" w:eastAsia="仿宋_GB2312"/>
          <w:sz w:val="32"/>
          <w:szCs w:val="32"/>
          <w:lang w:eastAsia="zh-CN"/>
        </w:rPr>
        <w:t>，</w:t>
      </w:r>
      <w:r>
        <w:rPr>
          <w:rFonts w:hint="eastAsia" w:ascii="仿宋_GB2312" w:eastAsia="仿宋_GB2312"/>
          <w:sz w:val="32"/>
          <w:szCs w:val="32"/>
        </w:rPr>
        <w:t>增</w:t>
      </w:r>
      <w:r>
        <w:rPr>
          <w:rFonts w:hint="eastAsia" w:ascii="仿宋_GB2312" w:eastAsia="仿宋_GB2312"/>
          <w:sz w:val="32"/>
          <w:szCs w:val="32"/>
          <w:lang w:eastAsia="zh-CN"/>
        </w:rPr>
        <w:t>加</w:t>
      </w:r>
      <w:r>
        <w:rPr>
          <w:rFonts w:hint="eastAsia" w:ascii="仿宋_GB2312" w:eastAsia="仿宋_GB2312"/>
          <w:sz w:val="32"/>
          <w:szCs w:val="32"/>
        </w:rPr>
        <w:t>主要原因是</w:t>
      </w:r>
      <w:r>
        <w:rPr>
          <w:rFonts w:hint="eastAsia" w:ascii="仿宋_GB2312" w:eastAsia="仿宋_GB2312"/>
          <w:color w:val="auto"/>
          <w:sz w:val="32"/>
          <w:szCs w:val="32"/>
          <w:lang w:eastAsia="zh-CN"/>
        </w:rPr>
        <w:t>本年度业务量增加，经费支出增加</w:t>
      </w:r>
      <w:r>
        <w:rPr>
          <w:rFonts w:hint="eastAsia" w:ascii="仿宋_GB2312" w:eastAsia="仿宋_GB2312"/>
          <w:sz w:val="32"/>
          <w:szCs w:val="32"/>
        </w:rPr>
        <w:t>。一般公共预算财政拨款支出94.44万元。与上年相比，增加29.12万元，增长30.83%。增</w:t>
      </w:r>
      <w:r>
        <w:rPr>
          <w:rFonts w:hint="eastAsia" w:ascii="仿宋_GB2312" w:eastAsia="仿宋_GB2312"/>
          <w:sz w:val="32"/>
          <w:szCs w:val="32"/>
          <w:lang w:eastAsia="zh-CN"/>
        </w:rPr>
        <w:t>加</w:t>
      </w:r>
      <w:r>
        <w:rPr>
          <w:rFonts w:hint="eastAsia" w:ascii="仿宋_GB2312" w:eastAsia="仿宋_GB2312"/>
          <w:sz w:val="32"/>
          <w:szCs w:val="32"/>
        </w:rPr>
        <w:t>主要原因是</w:t>
      </w:r>
      <w:r>
        <w:rPr>
          <w:rFonts w:hint="eastAsia" w:ascii="仿宋_GB2312" w:eastAsia="仿宋_GB2312"/>
          <w:color w:val="auto"/>
          <w:sz w:val="32"/>
          <w:szCs w:val="32"/>
          <w:lang w:eastAsia="zh-CN"/>
        </w:rPr>
        <w:t>本年度业务量增加，经费支出增加</w:t>
      </w:r>
      <w:r>
        <w:rPr>
          <w:rFonts w:hint="eastAsia" w:ascii="仿宋_GB2312" w:eastAsia="仿宋_GB2312"/>
          <w:sz w:val="32"/>
          <w:szCs w:val="32"/>
        </w:rPr>
        <w:t>。其中：按功能分类科目，社会保障和就业支出</w:t>
      </w:r>
      <w:r>
        <w:rPr>
          <w:rFonts w:hint="eastAsia" w:ascii="仿宋_GB2312" w:eastAsia="仿宋_GB2312"/>
          <w:sz w:val="32"/>
          <w:szCs w:val="32"/>
          <w:lang w:val="en-US" w:eastAsia="zh-CN"/>
        </w:rPr>
        <w:t>5.02万元，</w:t>
      </w:r>
      <w:r>
        <w:rPr>
          <w:rFonts w:hint="eastAsia" w:ascii="仿宋_GB2312" w:eastAsia="仿宋_GB2312"/>
          <w:sz w:val="32"/>
          <w:szCs w:val="32"/>
        </w:rPr>
        <w:t>农林水支出79.42万元，其他支出10万元。按经济分类</w:t>
      </w:r>
      <w:r>
        <w:rPr>
          <w:rFonts w:hint="eastAsia" w:ascii="仿宋_GB2312" w:eastAsia="仿宋_GB2312"/>
          <w:sz w:val="32"/>
          <w:szCs w:val="32"/>
          <w:lang w:eastAsia="zh-CN"/>
        </w:rPr>
        <w:t>科目，</w:t>
      </w:r>
      <w:r>
        <w:rPr>
          <w:rFonts w:hint="eastAsia" w:ascii="仿宋_GB2312" w:eastAsia="仿宋_GB2312"/>
          <w:sz w:val="32"/>
          <w:szCs w:val="32"/>
        </w:rPr>
        <w:t>工资福利支出55.15万元，商口和服务支出12.13万元，对个人和家庭的补助27.17万元，债务利息及费用支出0万元，资本性支出0万元，资本性支出0万元对企业补助0万元，对社会保障基金补助0万元，其他支出0万元。</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与年初预算数相比情况：一般公共预算财政拨款收入年初预算数66.06万元，决算数94.44万元，预决算差异率50.53%，差异主要原因</w:t>
      </w:r>
      <w:r>
        <w:rPr>
          <w:rFonts w:hint="eastAsia" w:ascii="仿宋_GB2312" w:eastAsia="仿宋_GB2312"/>
          <w:color w:val="auto"/>
          <w:sz w:val="32"/>
          <w:szCs w:val="32"/>
          <w:lang w:eastAsia="zh-CN"/>
        </w:rPr>
        <w:t>本年度业务量增加，经费支出增加</w:t>
      </w:r>
      <w:r>
        <w:rPr>
          <w:rFonts w:hint="eastAsia" w:ascii="仿宋_GB2312" w:eastAsia="仿宋_GB2312"/>
          <w:sz w:val="32"/>
          <w:szCs w:val="32"/>
        </w:rPr>
        <w:t>。一般公共预算财政拨款支出年初预算数66.06万元，决算数84.44万元，预决算差异率27.82%，差异主要原因</w:t>
      </w:r>
      <w:r>
        <w:rPr>
          <w:rFonts w:hint="eastAsia" w:ascii="仿宋_GB2312" w:eastAsia="仿宋_GB2312"/>
          <w:color w:val="auto"/>
          <w:sz w:val="32"/>
          <w:szCs w:val="32"/>
          <w:lang w:eastAsia="zh-CN"/>
        </w:rPr>
        <w:t>本年度业务量增加，经费支出增加</w:t>
      </w:r>
      <w:r>
        <w:rPr>
          <w:rFonts w:hint="eastAsia" w:ascii="仿宋_GB2312" w:eastAsia="仿宋_GB2312"/>
          <w:sz w:val="32"/>
          <w:szCs w:val="32"/>
        </w:rPr>
        <w:t>。</w:t>
      </w:r>
    </w:p>
    <w:p>
      <w:pPr>
        <w:spacing w:line="540" w:lineRule="exact"/>
        <w:ind w:firstLine="642"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2018年度政府性基金预算财政拨款收入0万元，与上年相比，增加0万元，增长0%。增</w:t>
      </w:r>
      <w:r>
        <w:rPr>
          <w:rFonts w:hint="eastAsia" w:ascii="仿宋_GB2312" w:eastAsia="仿宋_GB2312"/>
          <w:sz w:val="32"/>
          <w:szCs w:val="32"/>
          <w:lang w:eastAsia="zh-CN"/>
        </w:rPr>
        <w:t>加</w:t>
      </w:r>
      <w:r>
        <w:rPr>
          <w:rFonts w:hint="eastAsia" w:ascii="仿宋_GB2312" w:eastAsia="仿宋_GB2312"/>
          <w:sz w:val="32"/>
          <w:szCs w:val="32"/>
        </w:rPr>
        <w:t>主要原因是无此项资金支出安排。政府性基金预算支出0万元。与上年相比，增加0万元，增长0%。增</w:t>
      </w:r>
      <w:r>
        <w:rPr>
          <w:rFonts w:hint="eastAsia" w:ascii="仿宋_GB2312" w:eastAsia="仿宋_GB2312"/>
          <w:sz w:val="32"/>
          <w:szCs w:val="32"/>
          <w:lang w:eastAsia="zh-CN"/>
        </w:rPr>
        <w:t>加</w:t>
      </w:r>
      <w:r>
        <w:rPr>
          <w:rFonts w:hint="eastAsia" w:ascii="仿宋_GB2312" w:eastAsia="仿宋_GB2312"/>
          <w:sz w:val="32"/>
          <w:szCs w:val="32"/>
        </w:rPr>
        <w:t>主要原因是：此项资金支出安排。</w:t>
      </w:r>
      <w:r>
        <w:rPr>
          <w:rFonts w:hint="eastAsia" w:ascii="仿宋_GB2312" w:eastAsia="仿宋_GB2312"/>
          <w:sz w:val="32"/>
          <w:szCs w:val="32"/>
          <w:lang w:eastAsia="zh-CN"/>
        </w:rPr>
        <w:t>其中，</w:t>
      </w:r>
      <w:r>
        <w:rPr>
          <w:rFonts w:hint="eastAsia" w:ascii="仿宋_GB2312" w:eastAsia="仿宋_GB2312"/>
          <w:sz w:val="32"/>
          <w:szCs w:val="32"/>
        </w:rPr>
        <w:t>按功能分类科目，农林水支出</w:t>
      </w:r>
      <w:r>
        <w:rPr>
          <w:rFonts w:hint="eastAsia" w:ascii="仿宋_GB2312" w:eastAsia="仿宋_GB2312"/>
          <w:sz w:val="32"/>
          <w:szCs w:val="32"/>
          <w:lang w:val="en-US" w:eastAsia="zh-CN"/>
        </w:rPr>
        <w:t>0</w:t>
      </w:r>
      <w:r>
        <w:rPr>
          <w:rFonts w:hint="eastAsia" w:ascii="仿宋_GB2312" w:eastAsia="仿宋_GB2312"/>
          <w:sz w:val="32"/>
          <w:szCs w:val="32"/>
        </w:rPr>
        <w:t>万元，其他支出</w:t>
      </w:r>
      <w:r>
        <w:rPr>
          <w:rFonts w:hint="eastAsia" w:ascii="仿宋_GB2312" w:eastAsia="仿宋_GB2312"/>
          <w:sz w:val="32"/>
          <w:szCs w:val="32"/>
          <w:lang w:val="en-US" w:eastAsia="zh-CN"/>
        </w:rPr>
        <w:t>0</w:t>
      </w:r>
      <w:r>
        <w:rPr>
          <w:rFonts w:hint="eastAsia" w:ascii="仿宋_GB2312" w:eastAsia="仿宋_GB2312"/>
          <w:sz w:val="32"/>
          <w:szCs w:val="32"/>
        </w:rPr>
        <w:t>万元。按经济分类</w:t>
      </w:r>
      <w:r>
        <w:rPr>
          <w:rFonts w:hint="eastAsia" w:ascii="仿宋_GB2312" w:eastAsia="仿宋_GB2312"/>
          <w:sz w:val="32"/>
          <w:szCs w:val="32"/>
          <w:lang w:eastAsia="zh-CN"/>
        </w:rPr>
        <w:t>科目，</w:t>
      </w:r>
      <w:r>
        <w:rPr>
          <w:rFonts w:hint="eastAsia" w:ascii="仿宋_GB2312" w:eastAsia="仿宋_GB2312"/>
          <w:sz w:val="32"/>
          <w:szCs w:val="32"/>
        </w:rPr>
        <w:t>工资福利支出</w:t>
      </w:r>
      <w:r>
        <w:rPr>
          <w:rFonts w:hint="eastAsia" w:ascii="仿宋_GB2312" w:eastAsia="仿宋_GB2312"/>
          <w:sz w:val="32"/>
          <w:szCs w:val="32"/>
          <w:lang w:val="en-US" w:eastAsia="zh-CN"/>
        </w:rPr>
        <w:t>0</w:t>
      </w:r>
      <w:r>
        <w:rPr>
          <w:rFonts w:hint="eastAsia" w:ascii="仿宋_GB2312" w:eastAsia="仿宋_GB2312"/>
          <w:sz w:val="32"/>
          <w:szCs w:val="32"/>
        </w:rPr>
        <w:t>万元，商口和服务支出</w:t>
      </w:r>
      <w:r>
        <w:rPr>
          <w:rFonts w:hint="eastAsia" w:ascii="仿宋_GB2312" w:eastAsia="仿宋_GB2312"/>
          <w:sz w:val="32"/>
          <w:szCs w:val="32"/>
          <w:lang w:val="en-US" w:eastAsia="zh-CN"/>
        </w:rPr>
        <w:t>0</w:t>
      </w:r>
      <w:r>
        <w:rPr>
          <w:rFonts w:hint="eastAsia" w:ascii="仿宋_GB2312" w:eastAsia="仿宋_GB2312"/>
          <w:sz w:val="32"/>
          <w:szCs w:val="32"/>
        </w:rPr>
        <w:t>万元，对个人和家庭的补助</w:t>
      </w:r>
      <w:r>
        <w:rPr>
          <w:rFonts w:hint="eastAsia" w:ascii="仿宋_GB2312" w:eastAsia="仿宋_GB2312"/>
          <w:sz w:val="32"/>
          <w:szCs w:val="32"/>
          <w:lang w:val="en-US" w:eastAsia="zh-CN"/>
        </w:rPr>
        <w:t>0</w:t>
      </w:r>
      <w:r>
        <w:rPr>
          <w:rFonts w:hint="eastAsia" w:ascii="仿宋_GB2312" w:eastAsia="仿宋_GB2312"/>
          <w:sz w:val="32"/>
          <w:szCs w:val="32"/>
        </w:rPr>
        <w:t>万元，债务利息及费用支出0万元，资本性支出0万元，资本性支出0万元对企业补助0万元，对社会保障基金补助0万元，其他支出0万元。</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与年初预算数相比情况：政府性基金预算财政拨款收入年初预算数0万元，决算数0万元，预决算差异率0%，差异主要原因无政府性基金。政府性基金预算财政拨款支出年初预算数0万元，决算数0万元，预决算差异率0%，差异主要原因无此项资金支出安排。</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年末结转结余0万元。与上年相比，增加0万元，增长0%。</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其中财政拨款结转结余0万元。与上年相比，增加0万元，增长0%。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2018年度一般公共预算“三公”经费支出决算0万元，比上年减少0万元，降低0%，减少原因是本年度无此项资金安排。其中，因公出国（境）费支出0万元，占0%，比上年增加0万元，增长0%，增加原因是本年度无此项资金安排；公务用车购置及运行维护费支出0万元，占0%，比上年减少0万元，降低0%，减少原因是本年度无此项资金安排；公务接待费支出0万元，占0%，比上年增加0万元，增长0%，增加原因是严格履行中央八项规定，控制接待费用。具体情况如下：</w:t>
      </w:r>
    </w:p>
    <w:p>
      <w:pPr>
        <w:spacing w:line="54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因公出国（境）费支出0万元。于田县胡杨林管理站全年使用一般公共预算财政拨款安排的出国（境）团组0个，累计0人次。开支内容包括：本年度无此项资金安排。</w:t>
      </w:r>
    </w:p>
    <w:p>
      <w:pPr>
        <w:spacing w:line="54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公务用车购置及运行维护费0万元,其中，公务用车购置0万元，公务用车运行维护费0万元。单位一般公共财政拨款安排的公务用车购置量0辆，保有量为0辆。</w:t>
      </w:r>
    </w:p>
    <w:p>
      <w:pPr>
        <w:spacing w:line="54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公务接待费0万元。具体是：国内公务接待支出0万元，主要是本年度无此项资金支出安排。于田县胡杨林管理站国内公务接待0批次，0人次。</w:t>
      </w:r>
    </w:p>
    <w:p>
      <w:pPr>
        <w:spacing w:line="54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与年初预算数相比情况：一般公共预算“三公”经费支出年初预算数0万元，决算数0万元，预决算差异率0%，差异主要原因本年度无此项资金安排。其中：因公出国（境）费预算数0万元，决算数0万元，预决算差异率0%，差异主要原因本年度无此项资金安排；公务用车购置预算数0万元，决算数0万元，预决算差异率0%，差异主要原因本年度无此项资金安排；公务用车运行费预算数0万元，决算数0万元，预决算差异率0%，差异主要原因本年度无此项资金安排；公务接待费预算数0万元，决算数0万元，预决算差异率0%，差异主要原因本年度无此项资金安排。</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2018年度于田县胡杨林管理站（事业单位）日常公用经费2.13万元，比上年减少2.82万元，降低56.97%，主要原因是</w:t>
      </w:r>
      <w:r>
        <w:rPr>
          <w:rFonts w:hint="eastAsia" w:ascii="仿宋_GB2312" w:hAnsi="Times New Roman" w:eastAsia="仿宋_GB2312" w:cs="Times New Roman"/>
          <w:color w:val="auto"/>
          <w:sz w:val="32"/>
          <w:szCs w:val="32"/>
          <w:lang w:eastAsia="zh-CN"/>
        </w:rPr>
        <w:t>厉行节约，控制经费支出</w:t>
      </w:r>
      <w:r>
        <w:rPr>
          <w:rFonts w:hint="eastAsia" w:ascii="仿宋_GB2312" w:eastAsia="仿宋_GB2312"/>
          <w:sz w:val="32"/>
          <w:szCs w:val="32"/>
          <w:lang w:val="en-US" w:eastAsia="zh-CN"/>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2018年度政府采购支出总额0万元，其中：政府采购货物支出0万元、政府采购工程支出0万元、政府采购服务支出0万元。</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七、其他重要事项的情况</w:t>
      </w:r>
    </w:p>
    <w:p>
      <w:pPr>
        <w:spacing w:line="540" w:lineRule="exact"/>
        <w:ind w:firstLine="642" w:firstLineChars="200"/>
        <w:rPr>
          <w:rFonts w:ascii="楷体_GB2312" w:eastAsia="楷体_GB2312"/>
          <w:b/>
          <w:bCs/>
          <w:sz w:val="32"/>
          <w:szCs w:val="32"/>
        </w:rPr>
      </w:pPr>
      <w:r>
        <w:rPr>
          <w:rFonts w:hint="eastAsia" w:ascii="楷体_GB2312" w:eastAsia="楷体_GB2312"/>
          <w:b/>
          <w:bCs/>
          <w:sz w:val="32"/>
          <w:szCs w:val="32"/>
        </w:rPr>
        <w:t>（一）国有资产占用情况说明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截至2018年12月31日，单位共有车辆0辆，价值0万元，其中：部级领导干部用车0辆、主要领导干部用车0辆、机要通信用车0辆、应急保障用车0辆、执法执勤用车1辆、特种专业技术用车0辆、离退休干部用车0辆、其他用车0辆，其他用车主要是</w:t>
      </w:r>
      <w:r>
        <w:rPr>
          <w:rFonts w:hint="eastAsia" w:ascii="仿宋_GB2312" w:eastAsia="仿宋_GB2312"/>
          <w:sz w:val="32"/>
          <w:szCs w:val="32"/>
          <w:lang w:eastAsia="zh-CN"/>
        </w:rPr>
        <w:t>：无</w:t>
      </w:r>
      <w:r>
        <w:rPr>
          <w:rFonts w:hint="eastAsia" w:ascii="仿宋_GB2312" w:eastAsia="仿宋_GB2312"/>
          <w:sz w:val="32"/>
          <w:szCs w:val="32"/>
        </w:rPr>
        <w:t>；单位价值50万元以上通用设备0台（套）、单位价值100万元以上专用设备0台（套）。</w:t>
      </w:r>
    </w:p>
    <w:p>
      <w:pPr>
        <w:spacing w:line="540" w:lineRule="exact"/>
        <w:ind w:firstLine="642" w:firstLineChars="200"/>
        <w:rPr>
          <w:rFonts w:ascii="楷体_GB2312" w:eastAsia="楷体_GB2312"/>
          <w:b/>
          <w:bCs/>
          <w:sz w:val="32"/>
          <w:szCs w:val="32"/>
        </w:rPr>
      </w:pPr>
      <w:r>
        <w:rPr>
          <w:rFonts w:hint="eastAsia" w:ascii="楷体_GB2312" w:eastAsia="楷体_GB2312"/>
          <w:b/>
          <w:bCs/>
          <w:sz w:val="32"/>
          <w:szCs w:val="32"/>
        </w:rPr>
        <w:t>（二）预算绩效情况的说明</w:t>
      </w:r>
    </w:p>
    <w:p>
      <w:pPr>
        <w:numPr>
          <w:ilvl w:val="0"/>
          <w:numId w:val="0"/>
        </w:numPr>
        <w:spacing w:line="540" w:lineRule="exact"/>
        <w:ind w:leftChars="200" w:firstLine="640" w:firstLineChars="200"/>
        <w:rPr>
          <w:rFonts w:ascii="仿宋_GB2312" w:eastAsia="仿宋_GB2312"/>
          <w:sz w:val="30"/>
          <w:szCs w:val="30"/>
          <w:lang w:val="en-US"/>
        </w:rPr>
      </w:pPr>
      <w:r>
        <w:rPr>
          <w:rFonts w:hint="eastAsia" w:ascii="仿宋_GB2312" w:eastAsia="仿宋_GB2312"/>
          <w:sz w:val="32"/>
          <w:szCs w:val="32"/>
        </w:rPr>
        <w:t>2018年度，本部门单位预算绩效自评情况：于田县胡杨林管理站共有</w:t>
      </w:r>
      <w:r>
        <w:rPr>
          <w:rFonts w:hint="eastAsia" w:ascii="仿宋_GB2312" w:eastAsia="仿宋_GB2312"/>
          <w:sz w:val="32"/>
          <w:szCs w:val="32"/>
          <w:lang w:val="en-US" w:eastAsia="zh-CN"/>
        </w:rPr>
        <w:t>0个。</w:t>
      </w:r>
    </w:p>
    <w:p>
      <w:pPr>
        <w:spacing w:line="540" w:lineRule="exact"/>
        <w:rPr>
          <w:rFonts w:ascii="黑体" w:hAnsi="黑体" w:eastAsia="黑体"/>
          <w:sz w:val="32"/>
          <w:szCs w:val="32"/>
        </w:rPr>
      </w:pPr>
      <w:r>
        <w:rPr>
          <w:rFonts w:hint="eastAsia" w:ascii="仿宋_GB2312" w:eastAsia="仿宋_GB2312"/>
          <w:sz w:val="30"/>
          <w:szCs w:val="30"/>
        </w:rPr>
        <w:t xml:space="preserve">   </w:t>
      </w: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hint="eastAsia" w:ascii="仿宋_GB2312" w:hAnsi="Calibri" w:eastAsia="仿宋_GB2312"/>
          <w:sz w:val="32"/>
          <w:szCs w:val="32"/>
          <w:lang w:val="en-GB"/>
        </w:rPr>
      </w:pPr>
      <w:r>
        <w:rPr>
          <w:rFonts w:hint="eastAsia" w:ascii="仿宋_GB2312" w:eastAsia="仿宋_GB2312"/>
          <w:sz w:val="32"/>
          <w:szCs w:val="32"/>
        </w:rPr>
        <w:t>于田县胡杨林管理站支出功能分类说明</w:t>
      </w:r>
      <w:r>
        <w:rPr>
          <w:rFonts w:hint="eastAsia" w:ascii="仿宋_GB2312" w:hAnsi="Calibri" w:eastAsia="仿宋_GB2312"/>
          <w:sz w:val="32"/>
          <w:szCs w:val="32"/>
          <w:lang w:val="en-GB"/>
        </w:rPr>
        <w:t>。</w:t>
      </w:r>
    </w:p>
    <w:p>
      <w:pPr>
        <w:spacing w:line="540" w:lineRule="exact"/>
        <w:ind w:left="638" w:leftChars="304" w:firstLine="0" w:firstLineChars="0"/>
        <w:jc w:val="left"/>
        <w:rPr>
          <w:rFonts w:hint="eastAsia" w:ascii="仿宋_GB2312" w:hAnsi="Calibri" w:eastAsia="仿宋_GB2312"/>
          <w:sz w:val="32"/>
          <w:szCs w:val="32"/>
        </w:rPr>
      </w:pPr>
      <w:r>
        <w:rPr>
          <w:rFonts w:hint="eastAsia" w:ascii="仿宋_GB2312" w:hAnsi="Calibri" w:eastAsia="仿宋_GB2312"/>
          <w:sz w:val="32"/>
          <w:szCs w:val="32"/>
        </w:rPr>
        <w:t>2080505    机关事业单位基本养老保险缴费支出2130204    林业事业机构</w:t>
      </w:r>
    </w:p>
    <w:p>
      <w:pPr>
        <w:spacing w:line="540" w:lineRule="exact"/>
        <w:ind w:firstLine="640" w:firstLineChars="200"/>
        <w:jc w:val="left"/>
        <w:rPr>
          <w:rFonts w:hint="eastAsia" w:ascii="仿宋_GB2312" w:hAnsi="Calibri" w:eastAsia="仿宋_GB2312"/>
          <w:sz w:val="32"/>
          <w:szCs w:val="32"/>
        </w:rPr>
      </w:pPr>
      <w:r>
        <w:rPr>
          <w:rFonts w:hint="eastAsia" w:ascii="仿宋_GB2312" w:hAnsi="Calibri" w:eastAsia="仿宋_GB2312"/>
          <w:sz w:val="32"/>
          <w:szCs w:val="32"/>
        </w:rPr>
        <w:t>2299901    其他支出</w:t>
      </w:r>
    </w:p>
    <w:p>
      <w:pPr>
        <w:spacing w:line="540" w:lineRule="exact"/>
        <w:ind w:firstLine="640" w:firstLineChars="200"/>
        <w:jc w:val="left"/>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2"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bookmarkStart w:id="0" w:name="_GoBack"/>
      <w:bookmarkEnd w:id="0"/>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ind w:firstLine="640" w:firstLineChars="200"/>
        <w:rPr>
          <w:rFonts w:hint="eastAsia" w:ascii="仿宋_GB2312" w:eastAsia="仿宋_GB2312"/>
          <w:sz w:val="32"/>
          <w:szCs w:val="32"/>
          <w:lang w:eastAsia="zh-CN"/>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r>
        <w:rPr>
          <w:rFonts w:hint="eastAsia" w:ascii="仿宋_GB2312" w:eastAsia="仿宋_GB2312"/>
          <w:sz w:val="32"/>
          <w:szCs w:val="32"/>
          <w:lang w:eastAsia="zh-CN"/>
        </w:rPr>
        <w:t>（空表）</w:t>
      </w:r>
    </w:p>
    <w:p>
      <w:pPr>
        <w:ind w:firstLine="640" w:firstLineChars="200"/>
        <w:rPr>
          <w:rFonts w:hint="eastAsia"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仿宋_GB2312">
    <w:altName w:val="方正仿宋_GBK"/>
    <w:panose1 w:val="00000000000000000000"/>
    <w:charset w:val="86"/>
    <w:family w:val="modern"/>
    <w:pitch w:val="default"/>
    <w:sig w:usb0="00000000" w:usb1="00000000" w:usb2="00000010" w:usb3="00000000" w:csb0="00040000" w:csb1="00000000"/>
  </w:font>
  <w:font w:name="楷体_GB2312">
    <w:altName w:val="方正楷体_GBK"/>
    <w:panose1 w:val="00000000000000000000"/>
    <w:charset w:val="86"/>
    <w:family w:val="modern"/>
    <w:pitch w:val="default"/>
    <w:sig w:usb0="00000000" w:usb1="00000000" w:usb2="0000001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5BB920"/>
    <w:multiLevelType w:val="singleLevel"/>
    <w:tmpl w:val="AA5BB920"/>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41A45"/>
    <w:rsid w:val="00020A6A"/>
    <w:rsid w:val="00034A70"/>
    <w:rsid w:val="000772C9"/>
    <w:rsid w:val="000B350A"/>
    <w:rsid w:val="000B698D"/>
    <w:rsid w:val="000B7BDE"/>
    <w:rsid w:val="0018533A"/>
    <w:rsid w:val="001A0BA8"/>
    <w:rsid w:val="001A6CD2"/>
    <w:rsid w:val="001C2F07"/>
    <w:rsid w:val="00260148"/>
    <w:rsid w:val="00267A87"/>
    <w:rsid w:val="00275144"/>
    <w:rsid w:val="002E67DD"/>
    <w:rsid w:val="002F615E"/>
    <w:rsid w:val="00311DDB"/>
    <w:rsid w:val="00313FC7"/>
    <w:rsid w:val="0036130A"/>
    <w:rsid w:val="00361D83"/>
    <w:rsid w:val="003C5487"/>
    <w:rsid w:val="003E688F"/>
    <w:rsid w:val="00417D18"/>
    <w:rsid w:val="00423982"/>
    <w:rsid w:val="004377C7"/>
    <w:rsid w:val="0044493F"/>
    <w:rsid w:val="0049601A"/>
    <w:rsid w:val="004972E1"/>
    <w:rsid w:val="004C776C"/>
    <w:rsid w:val="0051702D"/>
    <w:rsid w:val="00566D8E"/>
    <w:rsid w:val="00586364"/>
    <w:rsid w:val="005A0C7A"/>
    <w:rsid w:val="005A3512"/>
    <w:rsid w:val="005B5D97"/>
    <w:rsid w:val="005C720C"/>
    <w:rsid w:val="00632240"/>
    <w:rsid w:val="00692499"/>
    <w:rsid w:val="00694A27"/>
    <w:rsid w:val="00695027"/>
    <w:rsid w:val="006B2CEC"/>
    <w:rsid w:val="006C2F6F"/>
    <w:rsid w:val="007273BE"/>
    <w:rsid w:val="00757289"/>
    <w:rsid w:val="007A1B7F"/>
    <w:rsid w:val="0080716E"/>
    <w:rsid w:val="00836E72"/>
    <w:rsid w:val="008405EA"/>
    <w:rsid w:val="00854D39"/>
    <w:rsid w:val="00872DCA"/>
    <w:rsid w:val="008B6802"/>
    <w:rsid w:val="008D6982"/>
    <w:rsid w:val="008E4A73"/>
    <w:rsid w:val="00941A45"/>
    <w:rsid w:val="009C548F"/>
    <w:rsid w:val="00A56C9B"/>
    <w:rsid w:val="00A839FC"/>
    <w:rsid w:val="00AF6D92"/>
    <w:rsid w:val="00B165F0"/>
    <w:rsid w:val="00B31B3E"/>
    <w:rsid w:val="00BA7D43"/>
    <w:rsid w:val="00BE1E60"/>
    <w:rsid w:val="00BE5D4D"/>
    <w:rsid w:val="00C01BBD"/>
    <w:rsid w:val="00C41513"/>
    <w:rsid w:val="00C83181"/>
    <w:rsid w:val="00CB72DE"/>
    <w:rsid w:val="00CC30E1"/>
    <w:rsid w:val="00CD45DD"/>
    <w:rsid w:val="00CF0938"/>
    <w:rsid w:val="00D22B78"/>
    <w:rsid w:val="00D26183"/>
    <w:rsid w:val="00D55D1F"/>
    <w:rsid w:val="00DA60D8"/>
    <w:rsid w:val="00DB5135"/>
    <w:rsid w:val="00DD4E96"/>
    <w:rsid w:val="00DF66FD"/>
    <w:rsid w:val="00E67D24"/>
    <w:rsid w:val="00EA0292"/>
    <w:rsid w:val="00F11C2C"/>
    <w:rsid w:val="00F972B2"/>
    <w:rsid w:val="00FB26C9"/>
    <w:rsid w:val="00FC3521"/>
    <w:rsid w:val="085C5D63"/>
    <w:rsid w:val="089B3FB4"/>
    <w:rsid w:val="10C07AD8"/>
    <w:rsid w:val="121371BD"/>
    <w:rsid w:val="162A2196"/>
    <w:rsid w:val="18192C13"/>
    <w:rsid w:val="1F6C6914"/>
    <w:rsid w:val="213E3926"/>
    <w:rsid w:val="25AE7C96"/>
    <w:rsid w:val="2C2B1948"/>
    <w:rsid w:val="31467B1A"/>
    <w:rsid w:val="360C2738"/>
    <w:rsid w:val="37115653"/>
    <w:rsid w:val="3EF62217"/>
    <w:rsid w:val="3F7A35A5"/>
    <w:rsid w:val="4A2048B1"/>
    <w:rsid w:val="4BDE18A6"/>
    <w:rsid w:val="4FB922B5"/>
    <w:rsid w:val="556B4BDA"/>
    <w:rsid w:val="569D706F"/>
    <w:rsid w:val="57D9563C"/>
    <w:rsid w:val="59E64DE6"/>
    <w:rsid w:val="5DF05792"/>
    <w:rsid w:val="606D0138"/>
    <w:rsid w:val="6680401A"/>
    <w:rsid w:val="674D65F5"/>
    <w:rsid w:val="683E01B0"/>
    <w:rsid w:val="68E87AB7"/>
    <w:rsid w:val="6B232B47"/>
    <w:rsid w:val="7A28415B"/>
    <w:rsid w:val="7A6C6A08"/>
    <w:rsid w:val="7D70129E"/>
    <w:rsid w:val="7DE167B0"/>
    <w:rsid w:val="DFCFD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Strong"/>
    <w:basedOn w:val="5"/>
    <w:qFormat/>
    <w:uiPriority w:val="0"/>
    <w:rPr>
      <w:b/>
      <w:bCs/>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773</Words>
  <Characters>4407</Characters>
  <Lines>36</Lines>
  <Paragraphs>10</Paragraphs>
  <TotalTime>4</TotalTime>
  <ScaleCrop>false</ScaleCrop>
  <LinksUpToDate>false</LinksUpToDate>
  <CharactersWithSpaces>5170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2019-06-10T23:03:00Z</dcterms:created>
  <dc:creator>Windows 用户</dc:creator>
  <cp:lastModifiedBy>zfbgs</cp:lastModifiedBy>
  <dcterms:modified xsi:type="dcterms:W3CDTF">2024-04-18T16:20:43Z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