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ascii="方正小标宋_GBK" w:hAnsi="宋体" w:eastAsia="方正小标宋_GBK"/>
          <w:sz w:val="44"/>
          <w:szCs w:val="44"/>
        </w:rPr>
        <w:t>2018</w:t>
      </w:r>
      <w:r>
        <w:rPr>
          <w:rFonts w:hint="eastAsia" w:ascii="方正小标宋_GBK" w:hAnsi="宋体" w:eastAsia="方正小标宋_GBK"/>
          <w:sz w:val="44"/>
          <w:szCs w:val="44"/>
        </w:rPr>
        <w:t>年度于田县林业站部门决算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_GB2312" w:hAnsi="宋体" w:eastAsia="Times New Roman"/>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ascii="黑体" w:hAnsi="黑体" w:eastAsia="黑体"/>
          <w:bCs/>
          <w:kern w:val="0"/>
          <w:sz w:val="32"/>
          <w:szCs w:val="32"/>
        </w:rPr>
        <w:t xml:space="preserve">  </w:t>
      </w:r>
      <w:r>
        <w:rPr>
          <w:rFonts w:hint="eastAsia" w:ascii="黑体" w:hAnsi="黑体" w:eastAsia="黑体"/>
          <w:bCs/>
          <w:kern w:val="0"/>
          <w:sz w:val="32"/>
          <w:szCs w:val="32"/>
        </w:rPr>
        <w:t>录</w:t>
      </w:r>
    </w:p>
    <w:p>
      <w:pPr>
        <w:spacing w:line="540" w:lineRule="exact"/>
        <w:rPr>
          <w:rFonts w:ascii="??_GB2312" w:hAnsi="宋体" w:eastAsia="Times New Roman"/>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部门单位概况</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一、主要职能</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二、</w:t>
      </w:r>
      <w:r>
        <w:rPr>
          <w:rFonts w:hint="eastAsia" w:ascii="仿宋" w:hAnsi="仿宋" w:eastAsia="仿宋" w:cs="仿宋"/>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部门决算情况说明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line="540" w:lineRule="exact"/>
        <w:ind w:firstLine="640" w:firstLineChars="200"/>
        <w:rPr>
          <w:rFonts w:ascii="??_GB2312" w:eastAsia="Times New Roman"/>
          <w:sz w:val="32"/>
          <w:szCs w:val="32"/>
        </w:rPr>
      </w:pPr>
      <w:r>
        <w:rPr>
          <w:rFonts w:hint="eastAsia" w:ascii="仿宋" w:hAnsi="仿宋" w:eastAsia="仿宋" w:cs="仿宋"/>
          <w:sz w:val="32"/>
          <w:szCs w:val="32"/>
        </w:rPr>
        <w:t>（四）政府性基金预算支出决算情</w:t>
      </w:r>
      <w:r>
        <w:rPr>
          <w:rFonts w:ascii="??_GB2312" w:eastAsia="Times New Roman"/>
          <w:sz w:val="32"/>
          <w:szCs w:val="32"/>
        </w:rPr>
        <w:t>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（二）预算绩效情况的说明</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部</w:t>
      </w:r>
      <w:r>
        <w:rPr>
          <w:rFonts w:hint="eastAsia" w:ascii="黑体" w:hAnsi="黑体" w:eastAsia="黑体"/>
          <w:sz w:val="32"/>
          <w:szCs w:val="32"/>
        </w:rPr>
        <w:t>门决算公开的</w:t>
      </w:r>
      <w:r>
        <w:rPr>
          <w:rFonts w:ascii="黑体" w:hAnsi="黑体" w:eastAsia="黑体"/>
          <w:sz w:val="32"/>
          <w:szCs w:val="32"/>
        </w:rPr>
        <w:t>8</w:t>
      </w:r>
      <w:r>
        <w:rPr>
          <w:rFonts w:hint="eastAsia" w:ascii="黑体" w:hAnsi="黑体" w:eastAsia="黑体"/>
          <w:sz w:val="32"/>
          <w:szCs w:val="32"/>
        </w:rPr>
        <w:t>张报表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spacing w:line="540" w:lineRule="exact"/>
        <w:ind w:firstLine="640" w:firstLineChars="200"/>
        <w:rPr>
          <w:rFonts w:ascii="??_GB2312" w:hAnsi="宋体" w:eastAsia="Times New Roman"/>
          <w:sz w:val="32"/>
          <w:szCs w:val="32"/>
        </w:rPr>
      </w:pPr>
      <w:r>
        <w:rPr>
          <w:rFonts w:hint="eastAsia" w:ascii="仿宋" w:hAnsi="仿宋" w:eastAsia="仿宋" w:cs="仿宋"/>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w:t>
      </w:r>
      <w:r>
        <w:rPr>
          <w:rFonts w:ascii="黑体" w:hAnsi="黑体" w:eastAsia="黑体"/>
          <w:sz w:val="32"/>
          <w:szCs w:val="32"/>
        </w:rPr>
        <w:t xml:space="preserve"> </w:t>
      </w:r>
      <w:r>
        <w:rPr>
          <w:rFonts w:hint="eastAsia" w:ascii="黑体" w:hAnsi="黑体" w:eastAsia="黑体"/>
          <w:sz w:val="32"/>
          <w:szCs w:val="32"/>
        </w:rPr>
        <w:t>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360" w:lineRule="auto"/>
        <w:ind w:firstLine="640" w:firstLineChars="200"/>
        <w:rPr>
          <w:sz w:val="32"/>
          <w:szCs w:val="32"/>
        </w:rPr>
      </w:pPr>
      <w:r>
        <w:rPr>
          <w:rFonts w:hint="eastAsia" w:ascii="仿宋_GB2312" w:eastAsia="仿宋_GB2312"/>
          <w:sz w:val="32"/>
          <w:szCs w:val="32"/>
        </w:rPr>
        <w:t>贯彻执行有关国家法律、法规和方针政策，组织编制和实施于田县林业发展总体规划、防沙治沙发展规划、林地保护利用总体发展规划等；组织人员对全县森林资源的管理和保护，森林资源不受侵害和破坏，特别是禁止牲畜侵入或人为地乱砍滥伐破坏森林；组织开展好林果业发展工作示范作用，推动全县林果业事业发展；做好林业执法，推动全县林业建设，全面做好林业技术服务工作；做好林业有害生物预防、防治林木检验检疫等工作；承办</w:t>
      </w:r>
      <w:r>
        <w:rPr>
          <w:rFonts w:hint="default" w:ascii="仿宋_GB2312" w:eastAsia="仿宋_GB2312"/>
          <w:sz w:val="32"/>
          <w:szCs w:val="32"/>
          <w:lang w:val="en"/>
        </w:rPr>
        <w:t>县委、县政府</w:t>
      </w:r>
      <w:r>
        <w:rPr>
          <w:rFonts w:hint="eastAsia" w:ascii="仿宋_GB2312" w:eastAsia="仿宋_GB2312"/>
          <w:sz w:val="32"/>
          <w:szCs w:val="32"/>
        </w:rPr>
        <w:t>和上级业务部门交办的其他工作和事项</w:t>
      </w:r>
      <w:r>
        <w:rPr>
          <w:rFonts w:ascii="仿宋_GB2312" w:eastAsia="仿宋_GB2312"/>
          <w:sz w:val="32"/>
          <w:szCs w:val="32"/>
        </w:rPr>
        <w:t xml:space="preserve"> .</w:t>
      </w:r>
    </w:p>
    <w:p>
      <w:pPr>
        <w:spacing w:line="540" w:lineRule="exact"/>
        <w:ind w:firstLine="480" w:firstLineChars="15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sz w:val="32"/>
          <w:szCs w:val="32"/>
        </w:rPr>
        <w:t>从决算单位构成看，于田县林业站部门决算包括：于田县林业站部门本级决算、所属单位决算等。</w:t>
      </w:r>
    </w:p>
    <w:p>
      <w:pPr>
        <w:spacing w:line="540" w:lineRule="exact"/>
        <w:ind w:firstLine="640" w:firstLineChars="200"/>
        <w:rPr>
          <w:rFonts w:ascii="仿宋" w:hAnsi="仿宋" w:eastAsia="仿宋" w:cs="仿宋"/>
          <w:spacing w:val="-6"/>
          <w:sz w:val="32"/>
          <w:szCs w:val="32"/>
        </w:rPr>
      </w:pPr>
      <w:r>
        <w:rPr>
          <w:rFonts w:hint="eastAsia" w:ascii="仿宋" w:hAnsi="仿宋" w:eastAsia="仿宋" w:cs="仿宋"/>
          <w:sz w:val="32"/>
          <w:szCs w:val="32"/>
        </w:rPr>
        <w:t>纳入于田县林业站2018年部门决算编制范围的单位名单见下表</w:t>
      </w:r>
      <w:r>
        <w:rPr>
          <w:rFonts w:hint="eastAsia" w:ascii="仿宋" w:hAnsi="仿宋" w:eastAsia="仿宋" w:cs="仿宋"/>
          <w:spacing w:val="-6"/>
          <w:sz w:val="32"/>
          <w:szCs w:val="32"/>
        </w:rPr>
        <w:t>：</w:t>
      </w:r>
    </w:p>
    <w:p>
      <w:pPr>
        <w:spacing w:line="500" w:lineRule="exact"/>
        <w:ind w:firstLine="616" w:firstLineChars="200"/>
        <w:rPr>
          <w:rFonts w:ascii="仿宋" w:hAnsi="仿宋" w:eastAsia="仿宋" w:cs="仿宋"/>
          <w:spacing w:val="-6"/>
          <w:sz w:val="32"/>
          <w:szCs w:val="32"/>
        </w:rPr>
      </w:pPr>
    </w:p>
    <w:tbl>
      <w:tblPr>
        <w:tblStyle w:val="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623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9" w:type="dxa"/>
            <w:vAlign w:val="center"/>
          </w:tcPr>
          <w:p>
            <w:pPr>
              <w:spacing w:line="500" w:lineRule="exact"/>
              <w:jc w:val="center"/>
              <w:rPr>
                <w:rFonts w:ascii="仿宋" w:hAnsi="仿宋" w:eastAsia="仿宋" w:cs="仿宋"/>
                <w:sz w:val="32"/>
                <w:szCs w:val="32"/>
              </w:rPr>
            </w:pPr>
            <w:r>
              <w:rPr>
                <w:rFonts w:hint="eastAsia" w:ascii="仿宋" w:hAnsi="仿宋" w:eastAsia="仿宋" w:cs="仿宋"/>
                <w:sz w:val="32"/>
                <w:szCs w:val="32"/>
              </w:rPr>
              <w:t>序号</w:t>
            </w:r>
          </w:p>
        </w:tc>
        <w:tc>
          <w:tcPr>
            <w:tcW w:w="6237" w:type="dxa"/>
            <w:vAlign w:val="center"/>
          </w:tcPr>
          <w:p>
            <w:pPr>
              <w:spacing w:line="500" w:lineRule="exact"/>
              <w:jc w:val="center"/>
              <w:rPr>
                <w:rFonts w:ascii="仿宋" w:hAnsi="仿宋" w:eastAsia="仿宋" w:cs="仿宋"/>
                <w:sz w:val="32"/>
                <w:szCs w:val="32"/>
              </w:rPr>
            </w:pPr>
            <w:r>
              <w:rPr>
                <w:rFonts w:hint="eastAsia" w:ascii="仿宋" w:hAnsi="仿宋" w:eastAsia="仿宋" w:cs="仿宋"/>
                <w:sz w:val="32"/>
                <w:szCs w:val="32"/>
              </w:rPr>
              <w:t>单位名称</w:t>
            </w:r>
          </w:p>
        </w:tc>
        <w:tc>
          <w:tcPr>
            <w:tcW w:w="2268" w:type="dxa"/>
            <w:vAlign w:val="center"/>
          </w:tcPr>
          <w:p>
            <w:pPr>
              <w:spacing w:line="500" w:lineRule="exact"/>
              <w:jc w:val="center"/>
              <w:rPr>
                <w:rFonts w:ascii="仿宋" w:hAnsi="仿宋" w:eastAsia="仿宋" w:cs="仿宋"/>
                <w:sz w:val="32"/>
                <w:szCs w:val="32"/>
              </w:rPr>
            </w:pPr>
            <w:r>
              <w:rPr>
                <w:rFonts w:hint="eastAsia" w:ascii="仿宋" w:hAnsi="仿宋" w:eastAsia="仿宋" w:cs="仿宋"/>
                <w:sz w:val="32"/>
                <w:szCs w:val="3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959" w:type="dxa"/>
            <w:vAlign w:val="center"/>
          </w:tcPr>
          <w:p>
            <w:pPr>
              <w:spacing w:line="500" w:lineRule="exact"/>
              <w:jc w:val="center"/>
              <w:rPr>
                <w:rFonts w:ascii="仿宋" w:hAnsi="仿宋" w:eastAsia="仿宋" w:cs="仿宋"/>
                <w:sz w:val="32"/>
                <w:szCs w:val="32"/>
              </w:rPr>
            </w:pPr>
            <w:r>
              <w:rPr>
                <w:rFonts w:hint="eastAsia" w:ascii="仿宋" w:hAnsi="仿宋" w:eastAsia="仿宋" w:cs="仿宋"/>
                <w:sz w:val="32"/>
                <w:szCs w:val="32"/>
              </w:rPr>
              <w:t>1</w:t>
            </w:r>
          </w:p>
        </w:tc>
        <w:tc>
          <w:tcPr>
            <w:tcW w:w="6237" w:type="dxa"/>
            <w:vAlign w:val="center"/>
          </w:tcPr>
          <w:p>
            <w:pPr>
              <w:spacing w:line="500" w:lineRule="exact"/>
              <w:rPr>
                <w:rFonts w:ascii="仿宋" w:hAnsi="仿宋" w:eastAsia="仿宋" w:cs="仿宋"/>
                <w:sz w:val="32"/>
                <w:szCs w:val="32"/>
              </w:rPr>
            </w:pPr>
            <w:r>
              <w:rPr>
                <w:rFonts w:hint="eastAsia" w:ascii="仿宋" w:hAnsi="仿宋" w:eastAsia="仿宋" w:cs="仿宋"/>
                <w:sz w:val="32"/>
                <w:szCs w:val="32"/>
              </w:rPr>
              <w:t>新疆维吾尔自治区和田地区于田县林业站</w:t>
            </w:r>
          </w:p>
        </w:tc>
        <w:tc>
          <w:tcPr>
            <w:tcW w:w="2268" w:type="dxa"/>
            <w:vAlign w:val="center"/>
          </w:tcPr>
          <w:p>
            <w:pPr>
              <w:spacing w:line="500" w:lineRule="exact"/>
              <w:ind w:firstLine="640" w:firstLineChars="200"/>
              <w:rPr>
                <w:rFonts w:ascii="仿宋" w:hAnsi="仿宋" w:eastAsia="仿宋" w:cs="仿宋"/>
                <w:sz w:val="32"/>
                <w:szCs w:val="32"/>
              </w:rPr>
            </w:pPr>
          </w:p>
        </w:tc>
      </w:tr>
    </w:tbl>
    <w:p>
      <w:pPr>
        <w:spacing w:line="500" w:lineRule="exact"/>
        <w:ind w:firstLine="627"/>
        <w:jc w:val="center"/>
        <w:rPr>
          <w:rFonts w:ascii="??_GB2312" w:hAnsi="宋体" w:eastAsia="Times New Roman"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rPr>
        <w:t>2018年度收入2943.08万元,与上年相比，减少1,876.40万元，降低38.93%，</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；支出2943.08万元,与上年相比，减少1,834.52万元，降低38.40%，</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；结余0万元。与上年相比，增加0万元，增长0%。</w:t>
      </w:r>
      <w:r>
        <w:rPr>
          <w:rFonts w:hint="eastAsia" w:ascii="仿宋" w:hAnsi="仿宋" w:eastAsia="仿宋" w:cs="仿宋"/>
          <w:sz w:val="32"/>
          <w:szCs w:val="32"/>
          <w:lang w:eastAsia="zh-CN"/>
        </w:rPr>
        <w:t>增加原因是本年度</w:t>
      </w:r>
      <w:r>
        <w:rPr>
          <w:rFonts w:hint="eastAsia" w:ascii="仿宋_GB2312" w:hAnsi="Times New Roman" w:eastAsia="仿宋_GB2312" w:cs="Times New Roman"/>
          <w:color w:val="auto"/>
          <w:sz w:val="32"/>
          <w:szCs w:val="32"/>
          <w:lang w:val="en-US" w:eastAsia="zh-CN"/>
        </w:rPr>
        <w:t>资金支付进度快，无结余。</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本年收入合计2,943.08万元，其中：财政拨款收入2,942.64万元，占99.995%；上级补助收入0万元，占0%；事业收入0万元，占0%；经营收入0万元，占0%；附属单位缴款0万元，占0%；其他收入0.45万元，占0.015%。</w:t>
      </w:r>
    </w:p>
    <w:p>
      <w:pPr>
        <w:widowControl w:val="0"/>
        <w:numPr>
          <w:ilvl w:val="0"/>
          <w:numId w:val="0"/>
        </w:numPr>
        <w:ind w:firstLine="640" w:firstLineChars="200"/>
        <w:jc w:val="both"/>
        <w:rPr>
          <w:rFonts w:ascii="仿宋" w:hAnsi="仿宋" w:eastAsia="仿宋" w:cs="仿宋"/>
          <w:color w:val="FF0000"/>
          <w:sz w:val="32"/>
          <w:szCs w:val="32"/>
        </w:rPr>
      </w:pPr>
      <w:r>
        <w:rPr>
          <w:rFonts w:hint="eastAsia" w:ascii="仿宋" w:hAnsi="仿宋" w:eastAsia="仿宋" w:cs="仿宋"/>
          <w:sz w:val="32"/>
          <w:szCs w:val="32"/>
        </w:rPr>
        <w:t>与年初预算数相比情况：本年收入年初预算数245.87万元，决算数2,943.08万元，预决算差异率1097.01%，差异主要原因是</w:t>
      </w:r>
      <w:r>
        <w:rPr>
          <w:rFonts w:hint="eastAsia" w:ascii="仿宋_GB2312" w:eastAsia="仿宋_GB2312"/>
          <w:color w:val="auto"/>
          <w:sz w:val="32"/>
          <w:szCs w:val="32"/>
          <w:lang w:eastAsia="zh-CN"/>
        </w:rPr>
        <w:t>本年度业务量增加，经费支出增加</w:t>
      </w:r>
      <w:r>
        <w:rPr>
          <w:rFonts w:hint="eastAsia" w:ascii="仿宋" w:hAnsi="仿宋" w:eastAsia="仿宋" w:cs="仿宋"/>
          <w:sz w:val="32"/>
          <w:szCs w:val="32"/>
        </w:rPr>
        <w:t>。</w:t>
      </w:r>
    </w:p>
    <w:p>
      <w:pPr>
        <w:spacing w:line="540" w:lineRule="exact"/>
        <w:ind w:firstLine="642" w:firstLineChars="200"/>
        <w:rPr>
          <w:rFonts w:ascii="仿宋" w:hAnsi="仿宋" w:eastAsia="仿宋" w:cs="仿宋"/>
          <w:b/>
          <w:bCs/>
          <w:sz w:val="32"/>
          <w:szCs w:val="32"/>
        </w:rPr>
      </w:pPr>
      <w:r>
        <w:rPr>
          <w:rFonts w:hint="eastAsia" w:ascii="仿宋" w:hAnsi="仿宋" w:eastAsia="仿宋" w:cs="仿宋"/>
          <w:b/>
          <w:bCs/>
          <w:sz w:val="32"/>
          <w:szCs w:val="32"/>
        </w:rPr>
        <w:t>（三）部门支出总体情况说明</w:t>
      </w:r>
    </w:p>
    <w:p>
      <w:pPr>
        <w:spacing w:line="5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本年支出合计2,943.08万元，其中：基本支出295.67万元，占10.05%；项目支出2,647.41万元，占89.95%；上缴上级支出0万元，占0%；经营支出0万元，占0%；对附属单位补助支出0万元，占0%</w:t>
      </w:r>
      <w:r>
        <w:rPr>
          <w:rFonts w:hint="eastAsia" w:ascii="仿宋" w:hAnsi="仿宋" w:eastAsia="仿宋" w:cs="仿宋"/>
          <w:sz w:val="32"/>
          <w:szCs w:val="32"/>
          <w:lang w:eastAsia="zh-CN"/>
        </w:rPr>
        <w:t>。</w:t>
      </w:r>
    </w:p>
    <w:p>
      <w:pPr>
        <w:widowControl w:val="0"/>
        <w:numPr>
          <w:ilvl w:val="0"/>
          <w:numId w:val="1"/>
        </w:numPr>
        <w:jc w:val="both"/>
        <w:rPr>
          <w:rFonts w:hint="eastAsia" w:ascii="仿宋" w:hAnsi="仿宋" w:eastAsia="仿宋" w:cs="仿宋"/>
          <w:sz w:val="32"/>
          <w:szCs w:val="32"/>
        </w:rPr>
      </w:pPr>
      <w:r>
        <w:rPr>
          <w:rFonts w:hint="eastAsia" w:ascii="仿宋" w:hAnsi="仿宋" w:eastAsia="仿宋" w:cs="仿宋"/>
          <w:sz w:val="32"/>
          <w:szCs w:val="32"/>
        </w:rPr>
        <w:t>与年初预算数相比情况：本年支出年初预算数245.87万元，决算数2,943.08万元，预决算差异率1097.01%，差异主要原因</w:t>
      </w:r>
      <w:r>
        <w:rPr>
          <w:rFonts w:hint="eastAsia" w:ascii="仿宋_GB2312" w:eastAsia="仿宋_GB2312"/>
          <w:color w:val="auto"/>
          <w:sz w:val="32"/>
          <w:szCs w:val="32"/>
          <w:lang w:eastAsia="zh-CN"/>
        </w:rPr>
        <w:t>本年度业务量增加，经费支出增加</w:t>
      </w:r>
      <w:r>
        <w:rPr>
          <w:rFonts w:hint="eastAsia" w:ascii="仿宋" w:hAnsi="仿宋" w:eastAsia="仿宋" w:cs="仿宋"/>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2018年度财政拨款收入2,942.64万元，与上年相比，减少1</w:t>
      </w:r>
      <w:r>
        <w:rPr>
          <w:rFonts w:hint="eastAsia" w:ascii="仿宋" w:hAnsi="仿宋" w:eastAsia="仿宋" w:cs="仿宋"/>
          <w:sz w:val="32"/>
          <w:szCs w:val="32"/>
          <w:lang w:eastAsia="zh-CN"/>
        </w:rPr>
        <w:t>，</w:t>
      </w:r>
      <w:r>
        <w:rPr>
          <w:rFonts w:hint="eastAsia" w:ascii="仿宋" w:hAnsi="仿宋" w:eastAsia="仿宋" w:cs="仿宋"/>
          <w:sz w:val="32"/>
          <w:szCs w:val="32"/>
        </w:rPr>
        <w:t>834.96万元，降低38.41%。</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。财政拨款支出2,942.64万元，与上年相比，减少1,834.96万元，降低38.41%，</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。其中：基本支出295.22万元，项目支出2,647.41万元。财政拨款结转结余0万元，与上年相比，增加0万元，增长0%。增主要原因是：本年度</w:t>
      </w:r>
      <w:r>
        <w:rPr>
          <w:rFonts w:hint="eastAsia" w:ascii="仿宋_GB2312" w:hAnsi="Times New Roman" w:eastAsia="仿宋_GB2312" w:cs="Times New Roman"/>
          <w:color w:val="auto"/>
          <w:sz w:val="32"/>
          <w:szCs w:val="32"/>
          <w:lang w:val="en-US" w:eastAsia="zh-CN"/>
        </w:rPr>
        <w:t>资金支付进度快，无结余</w:t>
      </w:r>
      <w:r>
        <w:rPr>
          <w:rFonts w:hint="eastAsia" w:ascii="仿宋" w:hAnsi="仿宋" w:eastAsia="仿宋" w:cs="仿宋"/>
          <w:sz w:val="32"/>
          <w:szCs w:val="32"/>
        </w:rPr>
        <w:t xml:space="preserve">。 </w:t>
      </w:r>
    </w:p>
    <w:p>
      <w:pPr>
        <w:widowControl w:val="0"/>
        <w:numPr>
          <w:ilvl w:val="0"/>
          <w:numId w:val="0"/>
        </w:numPr>
        <w:ind w:firstLine="640" w:firstLineChars="200"/>
        <w:jc w:val="both"/>
        <w:rPr>
          <w:rFonts w:hint="eastAsia" w:ascii="仿宋_GB2312" w:eastAsia="仿宋_GB2312"/>
          <w:color w:val="auto"/>
          <w:sz w:val="32"/>
          <w:szCs w:val="32"/>
        </w:rPr>
      </w:pPr>
      <w:r>
        <w:rPr>
          <w:rFonts w:hint="eastAsia" w:ascii="仿宋" w:hAnsi="仿宋" w:eastAsia="仿宋" w:cs="仿宋"/>
          <w:sz w:val="32"/>
          <w:szCs w:val="32"/>
        </w:rPr>
        <w:t>与年初预算数相比情况：财政拨款收入年初预算数245.87万元，决算数2,942.64万元，预决算差异率1096.83%，</w:t>
      </w:r>
      <w:r>
        <w:rPr>
          <w:rFonts w:hint="eastAsia" w:ascii="仿宋" w:hAnsi="仿宋" w:eastAsia="仿宋" w:cs="仿宋"/>
          <w:color w:val="000000" w:themeColor="text1"/>
          <w:sz w:val="32"/>
          <w:szCs w:val="32"/>
        </w:rPr>
        <w:t>主要原因是</w:t>
      </w:r>
      <w:r>
        <w:rPr>
          <w:rFonts w:hint="eastAsia" w:ascii="仿宋_GB2312" w:eastAsia="仿宋_GB2312"/>
          <w:color w:val="auto"/>
          <w:sz w:val="32"/>
          <w:szCs w:val="32"/>
          <w:lang w:eastAsia="zh-CN"/>
        </w:rPr>
        <w:t>本年度业务量增加，经费支出增加</w:t>
      </w:r>
      <w:r>
        <w:rPr>
          <w:rFonts w:hint="eastAsia" w:ascii="仿宋" w:hAnsi="仿宋" w:eastAsia="仿宋" w:cs="仿宋"/>
          <w:color w:val="000000" w:themeColor="text1"/>
          <w:sz w:val="32"/>
          <w:szCs w:val="32"/>
        </w:rPr>
        <w:t>。</w:t>
      </w:r>
      <w:r>
        <w:rPr>
          <w:rFonts w:hint="eastAsia" w:ascii="仿宋" w:hAnsi="仿宋" w:eastAsia="仿宋" w:cs="仿宋"/>
          <w:sz w:val="32"/>
          <w:szCs w:val="32"/>
        </w:rPr>
        <w:t>财政拨款支出年初预算数</w:t>
      </w:r>
      <w:r>
        <w:rPr>
          <w:rFonts w:hint="eastAsia" w:ascii="仿宋" w:hAnsi="仿宋" w:eastAsia="仿宋" w:cs="仿宋"/>
          <w:color w:val="000000"/>
          <w:sz w:val="32"/>
          <w:szCs w:val="32"/>
        </w:rPr>
        <w:t>245.87</w:t>
      </w:r>
      <w:r>
        <w:rPr>
          <w:rFonts w:hint="eastAsia" w:ascii="仿宋" w:hAnsi="仿宋" w:eastAsia="仿宋" w:cs="仿宋"/>
          <w:sz w:val="32"/>
          <w:szCs w:val="32"/>
        </w:rPr>
        <w:t>万元，决算数</w:t>
      </w:r>
      <w:r>
        <w:rPr>
          <w:rFonts w:hint="eastAsia" w:ascii="仿宋" w:hAnsi="仿宋" w:eastAsia="仿宋" w:cs="仿宋"/>
          <w:color w:val="000000"/>
          <w:sz w:val="32"/>
          <w:szCs w:val="32"/>
        </w:rPr>
        <w:t>2942.64</w:t>
      </w:r>
      <w:r>
        <w:rPr>
          <w:rFonts w:hint="eastAsia" w:ascii="仿宋" w:hAnsi="仿宋" w:eastAsia="仿宋" w:cs="仿宋"/>
          <w:sz w:val="32"/>
          <w:szCs w:val="32"/>
        </w:rPr>
        <w:t>万元，预决算差异率1096.83%，</w:t>
      </w:r>
      <w:r>
        <w:rPr>
          <w:rFonts w:hint="eastAsia" w:ascii="仿宋" w:hAnsi="仿宋" w:eastAsia="仿宋" w:cs="仿宋"/>
          <w:color w:val="000000" w:themeColor="text1"/>
          <w:sz w:val="32"/>
          <w:szCs w:val="32"/>
        </w:rPr>
        <w:t>差异主要原因是</w:t>
      </w:r>
      <w:r>
        <w:rPr>
          <w:rFonts w:hint="eastAsia" w:ascii="仿宋_GB2312" w:eastAsia="仿宋_GB2312"/>
          <w:color w:val="auto"/>
          <w:sz w:val="32"/>
          <w:szCs w:val="32"/>
          <w:lang w:eastAsia="zh-CN"/>
        </w:rPr>
        <w:t>本年度业务量增加，经费支出增加。</w:t>
      </w:r>
    </w:p>
    <w:p>
      <w:pPr>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2018年度一般公共预算财政拨款收入2,942.64万元。与上年相比，减少1,834.96万元，降低38.41%。</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。一般公共预算财政拨款支出2,942.64万元。与上年相比，减少1834.96万元，降低38.41%。</w:t>
      </w:r>
      <w:r>
        <w:rPr>
          <w:rFonts w:hint="eastAsia" w:ascii="仿宋" w:hAnsi="仿宋" w:eastAsia="仿宋" w:cs="仿宋"/>
          <w:sz w:val="32"/>
          <w:szCs w:val="32"/>
          <w:lang w:eastAsia="zh-CN"/>
        </w:rPr>
        <w:t>减少</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人员减少，工资减少</w:t>
      </w:r>
      <w:r>
        <w:rPr>
          <w:rFonts w:hint="eastAsia" w:ascii="仿宋" w:hAnsi="仿宋" w:eastAsia="仿宋" w:cs="仿宋"/>
          <w:sz w:val="32"/>
          <w:szCs w:val="32"/>
        </w:rPr>
        <w:t>。其中：按功能分类科目，节能环保支出2180.38万元，社会保障和就业支出26.96万元，农林水支出735.75万元，国土海洋气象等支出0万元，其它支出0万元，债务还本支出0万元。按经济分类科目，工资福利支出268.13万元，商品和服务支出6.85万元，对个人和家庭的补助1,625.70万元，债务利息及费用支出0万元，资本性支出0万元，资本性支出1,041.95万元对企业补助0万元，对社会保障基金补助0万元，其他支出0万元。</w:t>
      </w:r>
    </w:p>
    <w:p>
      <w:pPr>
        <w:widowControl w:val="0"/>
        <w:numPr>
          <w:ilvl w:val="0"/>
          <w:numId w:val="0"/>
        </w:numPr>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与年初预算数相比情况：一般公共预算财政拨款收入年初预算数245.87万元，决算数2,942.64万元，预决算差异率1096.83%，差异主要原因是</w:t>
      </w:r>
      <w:r>
        <w:rPr>
          <w:rFonts w:hint="eastAsia" w:ascii="仿宋_GB2312" w:eastAsia="仿宋_GB2312"/>
          <w:color w:val="auto"/>
          <w:sz w:val="32"/>
          <w:szCs w:val="32"/>
          <w:lang w:eastAsia="zh-CN"/>
        </w:rPr>
        <w:t>本年度业务量增加，经费支出增加</w:t>
      </w:r>
      <w:r>
        <w:rPr>
          <w:rFonts w:hint="eastAsia" w:ascii="仿宋" w:hAnsi="仿宋" w:eastAsia="仿宋" w:cs="仿宋"/>
          <w:sz w:val="32"/>
          <w:szCs w:val="32"/>
        </w:rPr>
        <w:t>。一般公共预算财政拨款支出年初预算数245.87万元，决算数2,942.64万元，预决算差异率1096.83%，差异主要原因是</w:t>
      </w:r>
      <w:r>
        <w:rPr>
          <w:rFonts w:hint="eastAsia" w:ascii="仿宋_GB2312" w:eastAsia="仿宋_GB2312"/>
          <w:color w:val="auto"/>
          <w:sz w:val="32"/>
          <w:szCs w:val="32"/>
          <w:lang w:eastAsia="zh-CN"/>
        </w:rPr>
        <w:t>本年度业务量增加，经费支出增加</w:t>
      </w:r>
      <w:r>
        <w:rPr>
          <w:rFonts w:hint="eastAsia" w:ascii="仿宋" w:hAnsi="仿宋" w:eastAsia="仿宋" w:cs="仿宋"/>
          <w:sz w:val="32"/>
          <w:szCs w:val="32"/>
        </w:rPr>
        <w:t>。</w:t>
      </w:r>
    </w:p>
    <w:p>
      <w:pPr>
        <w:ind w:firstLine="642"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2018年度政府性基金预算财政拨款收入0万元，与上年相比，增加0万元，增长0%。增</w:t>
      </w:r>
      <w:r>
        <w:rPr>
          <w:rFonts w:hint="eastAsia" w:ascii="仿宋" w:hAnsi="仿宋" w:eastAsia="仿宋" w:cs="仿宋"/>
          <w:sz w:val="32"/>
          <w:szCs w:val="32"/>
          <w:lang w:eastAsia="zh-CN"/>
        </w:rPr>
        <w:t>加</w:t>
      </w:r>
      <w:r>
        <w:rPr>
          <w:rFonts w:hint="eastAsia" w:ascii="仿宋" w:hAnsi="仿宋" w:eastAsia="仿宋" w:cs="仿宋"/>
          <w:sz w:val="32"/>
          <w:szCs w:val="32"/>
        </w:rPr>
        <w:t>主要原因是无此项资金支出安排。政府性基金预算支出0万元。与上年相比，增加0万元，增长0%。增</w:t>
      </w:r>
      <w:r>
        <w:rPr>
          <w:rFonts w:hint="eastAsia" w:ascii="仿宋" w:hAnsi="仿宋" w:eastAsia="仿宋" w:cs="仿宋"/>
          <w:sz w:val="32"/>
          <w:szCs w:val="32"/>
          <w:lang w:eastAsia="zh-CN"/>
        </w:rPr>
        <w:t>加</w:t>
      </w:r>
      <w:r>
        <w:rPr>
          <w:rFonts w:hint="eastAsia" w:ascii="仿宋" w:hAnsi="仿宋" w:eastAsia="仿宋" w:cs="仿宋"/>
          <w:sz w:val="32"/>
          <w:szCs w:val="32"/>
        </w:rPr>
        <w:t>主要原因是：本年度无此项资金支出安排。其中：按功能分类科目，节能环保支出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万元，社会保障和就业支出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万元，农林水支出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万元，国土海洋气象等支出0万元，其它支出0万元，债务还本支出0万元。按经济分类科目，工资福利支出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万元，商品和服务支出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万元，对个人和家庭的补助</w:t>
      </w:r>
      <w:r>
        <w:rPr>
          <w:rFonts w:hint="eastAsia" w:ascii="仿宋" w:hAnsi="仿宋" w:eastAsia="仿宋" w:cs="仿宋"/>
          <w:sz w:val="32"/>
          <w:szCs w:val="32"/>
          <w:lang w:val="en-US" w:eastAsia="zh-CN"/>
        </w:rPr>
        <w:t>0</w:t>
      </w:r>
      <w:r>
        <w:rPr>
          <w:rFonts w:hint="eastAsia" w:ascii="仿宋" w:hAnsi="仿宋" w:eastAsia="仿宋" w:cs="仿宋"/>
          <w:sz w:val="32"/>
          <w:szCs w:val="32"/>
        </w:rPr>
        <w:t>万元，债务利息及费用支出0万元，资本性支出0万元，资本性支出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万元对企业补助0万元，对社会保障基金补助0万元，其他支出0万元。</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与年初预算数相比情况：政府性基金预算财政拨款收入年初预算数0万元，决算数0万元，预决算差异率0%，差异主要原因无政府性基金。政府性基金预算财政拨款支出年初预算数0万元，决算数0万元，预决算差异率0%，差异主要原因无此项资金支出安排。</w:t>
      </w:r>
    </w:p>
    <w:p>
      <w:pPr>
        <w:spacing w:line="540" w:lineRule="exact"/>
        <w:ind w:firstLine="640" w:firstLineChars="200"/>
        <w:rPr>
          <w:rFonts w:ascii="黑体" w:hAnsi="黑体" w:eastAsia="黑体" w:cs="黑体"/>
          <w:sz w:val="32"/>
          <w:szCs w:val="32"/>
        </w:rPr>
      </w:pPr>
      <w:r>
        <w:rPr>
          <w:rFonts w:hint="eastAsia" w:ascii="黑体" w:hAnsi="黑体" w:eastAsia="黑体" w:cs="黑体"/>
          <w:sz w:val="32"/>
          <w:szCs w:val="32"/>
        </w:rPr>
        <w:t>三、部门结转结余情况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年末结转结余0万元。与上年相比，增加0万元，增长0%。</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其中财政拨款结转结余0万元。与上年相比，增加0万元，增长0%。</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四、一般公共预算“三公”经费支出情况</w:t>
      </w:r>
    </w:p>
    <w:p>
      <w:pPr>
        <w:numPr>
          <w:ilvl w:val="0"/>
          <w:numId w:val="0"/>
        </w:numPr>
        <w:spacing w:line="540" w:lineRule="exact"/>
        <w:ind w:leftChars="0" w:firstLine="640" w:firstLineChars="200"/>
        <w:rPr>
          <w:rFonts w:hint="eastAsia" w:ascii="仿宋" w:hAnsi="仿宋" w:eastAsia="仿宋" w:cs="仿宋"/>
          <w:sz w:val="32"/>
          <w:szCs w:val="32"/>
        </w:rPr>
      </w:pPr>
      <w:r>
        <w:rPr>
          <w:rFonts w:hint="eastAsia" w:ascii="仿宋" w:hAnsi="仿宋" w:eastAsia="仿宋" w:cs="仿宋"/>
          <w:sz w:val="32"/>
          <w:szCs w:val="32"/>
        </w:rPr>
        <w:t>2018年度一般公共预算“三公”经费支出决算1.27万元，增</w:t>
      </w:r>
      <w:r>
        <w:rPr>
          <w:rFonts w:hint="eastAsia" w:ascii="仿宋" w:hAnsi="仿宋" w:eastAsia="仿宋" w:cs="仿宋"/>
          <w:sz w:val="32"/>
          <w:szCs w:val="32"/>
          <w:lang w:eastAsia="zh-CN"/>
        </w:rPr>
        <w:t>加</w:t>
      </w:r>
      <w:r>
        <w:rPr>
          <w:rFonts w:hint="eastAsia" w:ascii="仿宋" w:hAnsi="仿宋" w:eastAsia="仿宋" w:cs="仿宋"/>
          <w:sz w:val="32"/>
          <w:szCs w:val="32"/>
        </w:rPr>
        <w:t>0万元，增长0%，原因是本年度</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。其中，因公出国（境）费支出0万元，占0%，比上年增加0万元，增长0%，增加原因是本年度无此项资金安排；公务用车购置及运行维护费支出1.27万元，占100%，比上年减少0万元，降低0%，原因是</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；公务接待费支出0万元，占0%，比上年增加0万元，增长0%，增加原因是</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。具体情况如下：</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因公出国（境）费支出 0万元。于田县林业</w:t>
      </w:r>
      <w:r>
        <w:rPr>
          <w:rFonts w:hint="eastAsia" w:ascii="仿宋" w:hAnsi="仿宋" w:eastAsia="仿宋" w:cs="仿宋"/>
          <w:sz w:val="32"/>
          <w:szCs w:val="32"/>
          <w:lang w:eastAsia="zh-CN"/>
        </w:rPr>
        <w:t>站</w:t>
      </w:r>
      <w:r>
        <w:rPr>
          <w:rFonts w:hint="eastAsia" w:ascii="仿宋" w:hAnsi="仿宋" w:eastAsia="仿宋" w:cs="仿宋"/>
          <w:sz w:val="32"/>
          <w:szCs w:val="32"/>
        </w:rPr>
        <w:t>全年使用一般公共预算财政拨款安排的出国（境）团组0个，累计0人次。开支内容包括：本年度无此项资金安排。</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公务用车购置及运行维护费1.27万元,其中，公务用车购置0万元，公务用车运行维护费1.27万元。主要用于本年度车辆保险、油款、维修等。单位一般公共财政拨款安排的公务用车购置量</w:t>
      </w:r>
      <w:r>
        <w:rPr>
          <w:rFonts w:hint="eastAsia" w:ascii="仿宋" w:hAnsi="仿宋" w:eastAsia="仿宋" w:cs="仿宋"/>
          <w:sz w:val="32"/>
          <w:szCs w:val="32"/>
          <w:lang w:val="en-US" w:eastAsia="zh-CN"/>
        </w:rPr>
        <w:t>0</w:t>
      </w:r>
      <w:r>
        <w:rPr>
          <w:rFonts w:hint="eastAsia" w:ascii="仿宋" w:hAnsi="仿宋" w:eastAsia="仿宋" w:cs="仿宋"/>
          <w:sz w:val="32"/>
          <w:szCs w:val="32"/>
        </w:rPr>
        <w:t>辆，保有量为5辆。</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公务接待费0万元。具体是：国内公务接待支出0万元，主要是本年度无此项资金支出安排。于田县林业</w:t>
      </w:r>
      <w:r>
        <w:rPr>
          <w:rFonts w:hint="eastAsia" w:ascii="仿宋" w:hAnsi="仿宋" w:eastAsia="仿宋" w:cs="仿宋"/>
          <w:sz w:val="32"/>
          <w:szCs w:val="32"/>
          <w:lang w:eastAsia="zh-CN"/>
        </w:rPr>
        <w:t>站</w:t>
      </w:r>
      <w:r>
        <w:rPr>
          <w:rFonts w:hint="eastAsia" w:ascii="仿宋" w:hAnsi="仿宋" w:eastAsia="仿宋" w:cs="仿宋"/>
          <w:sz w:val="32"/>
          <w:szCs w:val="32"/>
        </w:rPr>
        <w:t>国内公务接待0批次，0人次。</w:t>
      </w:r>
    </w:p>
    <w:p>
      <w:pPr>
        <w:numPr>
          <w:ilvl w:val="0"/>
          <w:numId w:val="0"/>
        </w:numPr>
        <w:spacing w:line="540" w:lineRule="exact"/>
        <w:ind w:leftChars="0"/>
        <w:rPr>
          <w:rFonts w:hint="eastAsia" w:ascii="仿宋" w:hAnsi="仿宋" w:eastAsia="仿宋" w:cs="仿宋"/>
          <w:sz w:val="32"/>
          <w:szCs w:val="32"/>
        </w:rPr>
      </w:pPr>
      <w:r>
        <w:rPr>
          <w:rFonts w:hint="eastAsia" w:ascii="仿宋" w:hAnsi="仿宋" w:eastAsia="仿宋" w:cs="仿宋"/>
          <w:sz w:val="32"/>
          <w:szCs w:val="32"/>
        </w:rPr>
        <w:t>与年初预算数相比情况：一般公共预算“三公”经费支出年初预算数5.00万元，决算数1.27万元，预决算差异率-74.6%，差异主要原</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其中：因公出国（境）费预算数0万元，决算数0万元，预决算差异率0%，差异主要原因本年度无此项资金安排；公务用车购置预算数0万元，决算数0万元，预决算差异率0%，差异主要原因本年度无此项资金安排；公务用车运行费预算数5.00万元，决算数1.27万元，预决算差异率74.6%，差异主要原因</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；公务接待费预算数0万元，决算数0万元，预决算差异率0%，差异主要原因本年度无此项资金安排。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numPr>
          <w:ilvl w:val="0"/>
          <w:numId w:val="0"/>
        </w:numPr>
        <w:spacing w:line="540" w:lineRule="exact"/>
        <w:ind w:leftChars="0"/>
        <w:rPr>
          <w:rFonts w:hint="eastAsia" w:ascii="仿宋" w:hAnsi="仿宋" w:eastAsia="仿宋" w:cs="仿宋"/>
          <w:sz w:val="32"/>
          <w:szCs w:val="32"/>
        </w:rPr>
      </w:pPr>
      <w:r>
        <w:rPr>
          <w:rFonts w:hint="eastAsia" w:ascii="仿宋" w:hAnsi="仿宋" w:eastAsia="仿宋" w:cs="仿宋"/>
          <w:sz w:val="32"/>
          <w:szCs w:val="32"/>
        </w:rPr>
        <w:t>2018年度于田区林业</w:t>
      </w:r>
      <w:r>
        <w:rPr>
          <w:rFonts w:hint="eastAsia" w:ascii="仿宋" w:hAnsi="仿宋" w:eastAsia="仿宋" w:cs="仿宋"/>
          <w:sz w:val="32"/>
          <w:szCs w:val="32"/>
          <w:lang w:eastAsia="zh-CN"/>
        </w:rPr>
        <w:t>站</w:t>
      </w:r>
      <w:r>
        <w:rPr>
          <w:rFonts w:hint="eastAsia" w:ascii="仿宋_GB2312" w:eastAsia="仿宋_GB2312"/>
          <w:sz w:val="32"/>
          <w:szCs w:val="32"/>
        </w:rPr>
        <w:t>（事业单位）日常公用经费</w:t>
      </w:r>
      <w:r>
        <w:rPr>
          <w:rFonts w:hint="eastAsia" w:ascii="仿宋" w:hAnsi="仿宋" w:eastAsia="仿宋" w:cs="仿宋"/>
          <w:sz w:val="32"/>
          <w:szCs w:val="32"/>
        </w:rPr>
        <w:t>支出</w:t>
      </w:r>
      <w:r>
        <w:rPr>
          <w:rFonts w:hint="eastAsia" w:ascii="仿宋" w:hAnsi="仿宋" w:eastAsia="仿宋" w:cs="仿宋"/>
          <w:sz w:val="32"/>
          <w:szCs w:val="32"/>
          <w:lang w:val="en-US" w:eastAsia="zh-CN"/>
        </w:rPr>
        <w:t>6.85</w:t>
      </w:r>
      <w:r>
        <w:rPr>
          <w:rFonts w:hint="eastAsia" w:ascii="仿宋" w:hAnsi="仿宋" w:eastAsia="仿宋" w:cs="仿宋"/>
          <w:sz w:val="32"/>
          <w:szCs w:val="32"/>
        </w:rPr>
        <w:t>万元，比上年减少</w:t>
      </w:r>
      <w:r>
        <w:rPr>
          <w:rFonts w:hint="eastAsia" w:ascii="仿宋" w:hAnsi="仿宋" w:eastAsia="仿宋" w:cs="仿宋"/>
          <w:sz w:val="32"/>
          <w:szCs w:val="32"/>
          <w:lang w:val="en-US" w:eastAsia="zh-CN"/>
        </w:rPr>
        <w:t>2.59</w:t>
      </w:r>
      <w:r>
        <w:rPr>
          <w:rFonts w:hint="eastAsia" w:ascii="仿宋" w:hAnsi="仿宋" w:eastAsia="仿宋" w:cs="仿宋"/>
          <w:sz w:val="32"/>
          <w:szCs w:val="32"/>
        </w:rPr>
        <w:t>万元，降低</w:t>
      </w:r>
      <w:r>
        <w:rPr>
          <w:rFonts w:hint="eastAsia" w:ascii="仿宋" w:hAnsi="仿宋" w:eastAsia="仿宋" w:cs="仿宋"/>
          <w:sz w:val="32"/>
          <w:szCs w:val="32"/>
          <w:lang w:val="en-US" w:eastAsia="zh-CN"/>
        </w:rPr>
        <w:t>27.44</w:t>
      </w:r>
      <w:r>
        <w:rPr>
          <w:rFonts w:hint="eastAsia" w:ascii="仿宋" w:hAnsi="仿宋" w:eastAsia="仿宋" w:cs="仿宋"/>
          <w:sz w:val="32"/>
          <w:szCs w:val="32"/>
        </w:rPr>
        <w:t>%，主要原因是</w:t>
      </w:r>
      <w:r>
        <w:rPr>
          <w:rFonts w:hint="eastAsia" w:ascii="仿宋_GB2312" w:hAnsi="Times New Roman" w:eastAsia="仿宋_GB2312" w:cs="Times New Roman"/>
          <w:color w:val="auto"/>
          <w:sz w:val="32"/>
          <w:szCs w:val="32"/>
          <w:lang w:eastAsia="zh-CN"/>
        </w:rPr>
        <w:t>厉行节约，控制经费支出</w:t>
      </w:r>
      <w:r>
        <w:rPr>
          <w:rFonts w:hint="eastAsia" w:ascii="仿宋" w:hAnsi="仿宋" w:eastAsia="仿宋" w:cs="仿宋"/>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2018年度政府采购支出总额0万元，其中：政府采购货物支出0万元、政府采购工程支出0万元、政府采购服务支出0万元。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截至2018年12月31日，单位共有车辆5辆，价值63.06</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万元，其中：部级领导干部用车0辆、主要领导干部用车0辆、机要通信用车0辆、应急保障用车0辆、执法执勤用车5辆、特种专业技术用车0辆、离退休干部用车0辆、其他用车0辆</w:t>
      </w:r>
      <w:r>
        <w:rPr>
          <w:rFonts w:hint="eastAsia" w:ascii="仿宋" w:hAnsi="仿宋" w:eastAsia="仿宋" w:cs="仿宋"/>
          <w:sz w:val="32"/>
          <w:szCs w:val="32"/>
          <w:lang w:eastAsia="zh-CN"/>
        </w:rPr>
        <w:t>，</w:t>
      </w:r>
      <w:r>
        <w:rPr>
          <w:rFonts w:hint="eastAsia" w:ascii="仿宋_GB2312" w:eastAsia="仿宋_GB2312"/>
          <w:sz w:val="32"/>
          <w:szCs w:val="32"/>
        </w:rPr>
        <w:t>其他用车主要是：无</w:t>
      </w:r>
      <w:r>
        <w:rPr>
          <w:rFonts w:hint="eastAsia" w:ascii="仿宋_GB2312" w:eastAsia="仿宋_GB2312"/>
          <w:sz w:val="32"/>
          <w:szCs w:val="32"/>
          <w:lang w:eastAsia="zh-CN"/>
        </w:rPr>
        <w:t>；</w:t>
      </w:r>
      <w:r>
        <w:rPr>
          <w:rFonts w:hint="eastAsia" w:ascii="仿宋" w:hAnsi="仿宋" w:eastAsia="仿宋" w:cs="仿宋"/>
          <w:sz w:val="32"/>
          <w:szCs w:val="32"/>
        </w:rPr>
        <w:t>单位价值50万元以上通用设备0台（套）、单位价值100万元以上专用设备0台（套）。</w:t>
      </w:r>
    </w:p>
    <w:p>
      <w:pPr>
        <w:spacing w:line="540" w:lineRule="exact"/>
        <w:ind w:firstLine="642"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2018年度，本部门单位预算绩效自评情况：</w:t>
      </w:r>
      <w:r>
        <w:rPr>
          <w:rFonts w:hint="eastAsia" w:ascii="仿宋" w:hAnsi="仿宋" w:eastAsia="仿宋" w:cs="仿宋"/>
          <w:sz w:val="32"/>
          <w:szCs w:val="32"/>
          <w:lang w:eastAsia="zh-CN"/>
        </w:rPr>
        <w:t>于</w:t>
      </w:r>
      <w:r>
        <w:rPr>
          <w:rFonts w:hint="eastAsia" w:ascii="仿宋" w:hAnsi="仿宋" w:eastAsia="仿宋" w:cs="仿宋"/>
          <w:sz w:val="32"/>
          <w:szCs w:val="32"/>
        </w:rPr>
        <w:t>田县林业站共有</w:t>
      </w:r>
      <w:r>
        <w:rPr>
          <w:rFonts w:hint="eastAsia" w:ascii="仿宋" w:hAnsi="仿宋" w:eastAsia="仿宋" w:cs="仿宋"/>
          <w:sz w:val="32"/>
          <w:szCs w:val="32"/>
          <w:lang w:val="en-US" w:eastAsia="zh-CN"/>
        </w:rPr>
        <w:t>1</w:t>
      </w:r>
      <w:r>
        <w:rPr>
          <w:rFonts w:hint="eastAsia" w:ascii="仿宋" w:hAnsi="仿宋" w:eastAsia="仿宋" w:cs="仿宋"/>
          <w:sz w:val="32"/>
          <w:szCs w:val="32"/>
        </w:rPr>
        <w:t>个项目。</w:t>
      </w:r>
    </w:p>
    <w:p>
      <w:pPr>
        <w:numPr>
          <w:ilvl w:val="0"/>
          <w:numId w:val="0"/>
        </w:numPr>
        <w:spacing w:line="540" w:lineRule="exact"/>
        <w:ind w:firstLine="600" w:firstLineChars="200"/>
        <w:rPr>
          <w:b/>
          <w:bCs/>
          <w:sz w:val="24"/>
        </w:rPr>
      </w:pPr>
      <w:r>
        <w:rPr>
          <w:rFonts w:hint="eastAsia" w:ascii="仿宋_GB2312" w:eastAsia="仿宋_GB2312"/>
          <w:sz w:val="30"/>
          <w:szCs w:val="30"/>
        </w:rPr>
        <w:t>于田县2018年退耕还林项目（完善退耕还林、新一轮退耕还林项目），根据年初设定的绩效目标，于田县2018年退耕还林项目（完善退耕还林、新一轮退耕还林项目）绩效自评得分91分。项目全年预算数为1329.86万元，执行数为1329.86万元，完成预算的100%。主要产出和效果、发现的问题及原因和有关项目自评情况见附表1《2018年退耕还林项目（完善退耕还林、新一轮退耕还林项目）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附属单位上缴收入：指事业单位附属的独立核算单位按有关规定上缴的收入。</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 w:hAnsi="仿宋" w:eastAsia="仿宋" w:cs="仿宋"/>
          <w:sz w:val="32"/>
          <w:szCs w:val="32"/>
          <w:lang w:val="en-GB"/>
        </w:rPr>
      </w:pPr>
      <w:r>
        <w:rPr>
          <w:rFonts w:hint="eastAsia" w:ascii="仿宋" w:hAnsi="仿宋" w:eastAsia="仿宋" w:cs="仿宋"/>
          <w:sz w:val="32"/>
          <w:szCs w:val="32"/>
        </w:rPr>
        <w:t>于田县林业站支出功能分类说明</w:t>
      </w:r>
      <w:r>
        <w:rPr>
          <w:rFonts w:hint="eastAsia" w:ascii="仿宋" w:hAnsi="仿宋" w:eastAsia="仿宋" w:cs="仿宋"/>
          <w:sz w:val="32"/>
          <w:szCs w:val="32"/>
          <w:lang w:val="en-GB"/>
        </w:rPr>
        <w:t>。</w:t>
      </w:r>
    </w:p>
    <w:p>
      <w:pPr>
        <w:spacing w:line="540" w:lineRule="exact"/>
        <w:ind w:left="638" w:leftChars="304" w:firstLine="0" w:firstLineChars="0"/>
        <w:rPr>
          <w:rFonts w:hint="eastAsia" w:ascii="仿宋" w:hAnsi="仿宋" w:eastAsia="仿宋" w:cs="仿宋"/>
          <w:sz w:val="32"/>
          <w:szCs w:val="32"/>
        </w:rPr>
      </w:pPr>
      <w:r>
        <w:rPr>
          <w:rFonts w:hint="eastAsia" w:ascii="仿宋" w:hAnsi="仿宋" w:eastAsia="仿宋" w:cs="仿宋"/>
          <w:sz w:val="32"/>
          <w:szCs w:val="32"/>
        </w:rPr>
        <w:t>2080505    机关事业单位基本养老保险缴费支出2110602    退耕现金</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2130204    林业事业机构</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2130205    森林培育</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2130209    森林生态效益补偿</w:t>
      </w:r>
    </w:p>
    <w:p>
      <w:pPr>
        <w:spacing w:line="540" w:lineRule="exact"/>
        <w:ind w:firstLine="640" w:firstLineChars="200"/>
        <w:rPr>
          <w:rFonts w:ascii="??_GB2312" w:eastAsia="Times New Roman"/>
          <w:b/>
          <w:sz w:val="32"/>
          <w:szCs w:val="32"/>
        </w:rPr>
      </w:pPr>
      <w:r>
        <w:rPr>
          <w:rFonts w:hint="eastAsia" w:ascii="仿宋" w:hAnsi="仿宋" w:eastAsia="仿宋" w:cs="仿宋"/>
          <w:sz w:val="32"/>
          <w:szCs w:val="32"/>
        </w:rPr>
        <w:t>其他有关说明内容</w:t>
      </w:r>
      <w:r>
        <w:rPr>
          <w:rFonts w:hint="eastAsia" w:ascii="仿宋" w:hAnsi="仿宋" w:eastAsia="仿宋" w:cs="仿宋"/>
          <w:sz w:val="32"/>
          <w:szCs w:val="32"/>
          <w:lang w:val="en-GB"/>
        </w:rPr>
        <w:t>。</w:t>
      </w:r>
    </w:p>
    <w:p>
      <w:pPr>
        <w:spacing w:line="540" w:lineRule="exact"/>
        <w:jc w:val="center"/>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部门决算公开的</w:t>
      </w:r>
      <w:r>
        <w:rPr>
          <w:rFonts w:ascii="黑体" w:hAnsi="黑体" w:eastAsia="黑体"/>
          <w:sz w:val="32"/>
          <w:szCs w:val="32"/>
        </w:rPr>
        <w:t>8</w:t>
      </w:r>
      <w:r>
        <w:rPr>
          <w:rFonts w:hint="eastAsia" w:ascii="黑体" w:hAnsi="黑体" w:eastAsia="黑体"/>
          <w:sz w:val="32"/>
          <w:szCs w:val="32"/>
        </w:rPr>
        <w:t>张报表（见附表）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一、《收入支出决算总表》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二、《收入决算表》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三、《支出决算表》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四、《财政拨款收入支出决算总表》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五、《一般公共预算财政拨款支出决算表》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六、《一般公共预算财政拨款基本支出决算表》</w:t>
      </w:r>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七、《一般公共预算财政拨款“三公”经费支出决算表》</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八、《政府性基金预算财政拨款收入支出决算表》</w:t>
      </w:r>
      <w:r>
        <w:rPr>
          <w:rFonts w:hint="eastAsia" w:ascii="仿宋" w:hAnsi="仿宋" w:eastAsia="仿宋" w:cs="仿宋"/>
          <w:sz w:val="32"/>
          <w:szCs w:val="32"/>
          <w:lang w:eastAsia="zh-CN"/>
        </w:rPr>
        <w:t>（空表）</w:t>
      </w:r>
    </w:p>
    <w:p>
      <w:pPr>
        <w:ind w:firstLine="640" w:firstLineChars="200"/>
        <w:rPr>
          <w:rFonts w:hint="eastAsia" w:ascii="仿宋" w:hAnsi="仿宋" w:eastAsia="仿宋" w:cs="仿宋"/>
          <w:sz w:val="32"/>
          <w:szCs w:val="32"/>
        </w:rPr>
      </w:pPr>
    </w:p>
    <w:p>
      <w:pPr>
        <w:rPr>
          <w:rFonts w:ascii="仿宋" w:hAnsi="仿宋" w:eastAsia="仿宋" w:cs="仿宋"/>
          <w:sz w:val="32"/>
          <w:szCs w:val="32"/>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_GB2312">
    <w:altName w:val="URW Bookman"/>
    <w:panose1 w:val="00000000000000000000"/>
    <w:charset w:val="00"/>
    <w:family w:val="auto"/>
    <w:pitch w:val="default"/>
    <w:sig w:usb0="00000000" w:usb1="00000000" w:usb2="00000000" w:usb3="00000000" w:csb0="00000001"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URW Bookman">
    <w:panose1 w:val="000004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BB920"/>
    <w:multiLevelType w:val="singleLevel"/>
    <w:tmpl w:val="AA5BB92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NotTrackMoves/>
  <w:documentProtection w:enforcement="0"/>
  <w:defaultTabStop w:val="420"/>
  <w:drawingGridVerticalSpacing w:val="156"/>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1A45"/>
    <w:rsid w:val="0001545B"/>
    <w:rsid w:val="00034A70"/>
    <w:rsid w:val="0003797D"/>
    <w:rsid w:val="0009146E"/>
    <w:rsid w:val="000B350A"/>
    <w:rsid w:val="000B7BDE"/>
    <w:rsid w:val="000C7D6A"/>
    <w:rsid w:val="000D5BDA"/>
    <w:rsid w:val="00122791"/>
    <w:rsid w:val="001472B0"/>
    <w:rsid w:val="0018533A"/>
    <w:rsid w:val="0019671A"/>
    <w:rsid w:val="001A0BA8"/>
    <w:rsid w:val="001A6CD2"/>
    <w:rsid w:val="001C2F07"/>
    <w:rsid w:val="002118E4"/>
    <w:rsid w:val="00217771"/>
    <w:rsid w:val="00223A80"/>
    <w:rsid w:val="00267A87"/>
    <w:rsid w:val="0028301E"/>
    <w:rsid w:val="002E304A"/>
    <w:rsid w:val="002E67DD"/>
    <w:rsid w:val="002F615E"/>
    <w:rsid w:val="00311DDB"/>
    <w:rsid w:val="00313FC7"/>
    <w:rsid w:val="003363F5"/>
    <w:rsid w:val="0036130A"/>
    <w:rsid w:val="00361D83"/>
    <w:rsid w:val="003C5487"/>
    <w:rsid w:val="00417D18"/>
    <w:rsid w:val="00423982"/>
    <w:rsid w:val="004435E9"/>
    <w:rsid w:val="0049601A"/>
    <w:rsid w:val="004D506D"/>
    <w:rsid w:val="004F7BCD"/>
    <w:rsid w:val="00505EE9"/>
    <w:rsid w:val="00537FB1"/>
    <w:rsid w:val="00566D8E"/>
    <w:rsid w:val="00586364"/>
    <w:rsid w:val="005C720C"/>
    <w:rsid w:val="00632240"/>
    <w:rsid w:val="00661BBB"/>
    <w:rsid w:val="00692499"/>
    <w:rsid w:val="00694A27"/>
    <w:rsid w:val="006C4E23"/>
    <w:rsid w:val="007052E7"/>
    <w:rsid w:val="00757289"/>
    <w:rsid w:val="007670C4"/>
    <w:rsid w:val="007A1B7F"/>
    <w:rsid w:val="007A1E7C"/>
    <w:rsid w:val="007D529E"/>
    <w:rsid w:val="0080716E"/>
    <w:rsid w:val="00836E72"/>
    <w:rsid w:val="008405EA"/>
    <w:rsid w:val="00872DCA"/>
    <w:rsid w:val="00874188"/>
    <w:rsid w:val="008A1854"/>
    <w:rsid w:val="008C354B"/>
    <w:rsid w:val="008E4A73"/>
    <w:rsid w:val="00941A45"/>
    <w:rsid w:val="00971DFC"/>
    <w:rsid w:val="00976681"/>
    <w:rsid w:val="009779E0"/>
    <w:rsid w:val="009C203C"/>
    <w:rsid w:val="009D6F33"/>
    <w:rsid w:val="009F5DDE"/>
    <w:rsid w:val="00A4579B"/>
    <w:rsid w:val="00A56C9B"/>
    <w:rsid w:val="00A802F2"/>
    <w:rsid w:val="00A867F4"/>
    <w:rsid w:val="00AA38C6"/>
    <w:rsid w:val="00AE5100"/>
    <w:rsid w:val="00AF6D92"/>
    <w:rsid w:val="00B165F0"/>
    <w:rsid w:val="00B31B3E"/>
    <w:rsid w:val="00BC01C8"/>
    <w:rsid w:val="00BE1E60"/>
    <w:rsid w:val="00BE5D4D"/>
    <w:rsid w:val="00C0168E"/>
    <w:rsid w:val="00C354F1"/>
    <w:rsid w:val="00C50353"/>
    <w:rsid w:val="00C868D4"/>
    <w:rsid w:val="00CD45DD"/>
    <w:rsid w:val="00CF08E8"/>
    <w:rsid w:val="00CF0938"/>
    <w:rsid w:val="00D22B78"/>
    <w:rsid w:val="00D26183"/>
    <w:rsid w:val="00D55D1F"/>
    <w:rsid w:val="00D85C95"/>
    <w:rsid w:val="00DA60D8"/>
    <w:rsid w:val="00DB3616"/>
    <w:rsid w:val="00DB5135"/>
    <w:rsid w:val="00DD4E96"/>
    <w:rsid w:val="00DF66FD"/>
    <w:rsid w:val="00E467E5"/>
    <w:rsid w:val="00E62AF7"/>
    <w:rsid w:val="00E97648"/>
    <w:rsid w:val="00EA1BBC"/>
    <w:rsid w:val="00EB430D"/>
    <w:rsid w:val="00F10593"/>
    <w:rsid w:val="00F11C2C"/>
    <w:rsid w:val="00F42479"/>
    <w:rsid w:val="00F503FC"/>
    <w:rsid w:val="00F845FF"/>
    <w:rsid w:val="00F972B2"/>
    <w:rsid w:val="00FA571D"/>
    <w:rsid w:val="00FC3521"/>
    <w:rsid w:val="00FE517F"/>
    <w:rsid w:val="012E4B9F"/>
    <w:rsid w:val="02A84208"/>
    <w:rsid w:val="02D63CE4"/>
    <w:rsid w:val="03460339"/>
    <w:rsid w:val="06D257F1"/>
    <w:rsid w:val="085C5D63"/>
    <w:rsid w:val="0CDD5E79"/>
    <w:rsid w:val="0E1861BD"/>
    <w:rsid w:val="121371BD"/>
    <w:rsid w:val="125F3D95"/>
    <w:rsid w:val="16E10A1D"/>
    <w:rsid w:val="17702272"/>
    <w:rsid w:val="1D230DBF"/>
    <w:rsid w:val="1F620CB1"/>
    <w:rsid w:val="212C1416"/>
    <w:rsid w:val="258B4EDB"/>
    <w:rsid w:val="2B1E71E0"/>
    <w:rsid w:val="2C2B1948"/>
    <w:rsid w:val="2FC22D45"/>
    <w:rsid w:val="3A336A79"/>
    <w:rsid w:val="3CC15418"/>
    <w:rsid w:val="3E495B2B"/>
    <w:rsid w:val="3EF30161"/>
    <w:rsid w:val="49A57EBF"/>
    <w:rsid w:val="4B8442B8"/>
    <w:rsid w:val="4CFA7D69"/>
    <w:rsid w:val="4E280267"/>
    <w:rsid w:val="51C85341"/>
    <w:rsid w:val="52C12739"/>
    <w:rsid w:val="53270F50"/>
    <w:rsid w:val="556B4BDA"/>
    <w:rsid w:val="59E64DE6"/>
    <w:rsid w:val="5DF05792"/>
    <w:rsid w:val="5F4C452E"/>
    <w:rsid w:val="6680401A"/>
    <w:rsid w:val="674D65F5"/>
    <w:rsid w:val="68A02E5D"/>
    <w:rsid w:val="6C69779E"/>
    <w:rsid w:val="6EE665DD"/>
    <w:rsid w:val="787748B1"/>
    <w:rsid w:val="7927610D"/>
    <w:rsid w:val="79710B31"/>
    <w:rsid w:val="7A28415B"/>
    <w:rsid w:val="7A6C6A08"/>
    <w:rsid w:val="7C341219"/>
    <w:rsid w:val="7F8F2B4E"/>
    <w:rsid w:val="DED21A2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6">
    <w:name w:val="Strong"/>
    <w:basedOn w:val="5"/>
    <w:qFormat/>
    <w:uiPriority w:val="99"/>
    <w:rPr>
      <w:rFonts w:cs="Times New Roman"/>
      <w:b/>
      <w:bCs/>
    </w:rPr>
  </w:style>
  <w:style w:type="character" w:customStyle="1" w:styleId="7">
    <w:name w:val="页脚 Char"/>
    <w:basedOn w:val="5"/>
    <w:link w:val="2"/>
    <w:semiHidden/>
    <w:qFormat/>
    <w:locked/>
    <w:uiPriority w:val="99"/>
    <w:rPr>
      <w:rFonts w:cs="Times New Roman"/>
      <w:sz w:val="18"/>
      <w:szCs w:val="18"/>
    </w:rPr>
  </w:style>
  <w:style w:type="character" w:customStyle="1" w:styleId="8">
    <w:name w:val="页眉 Char"/>
    <w:basedOn w:val="5"/>
    <w:link w:val="3"/>
    <w:semiHidden/>
    <w:qFormat/>
    <w:locked/>
    <w:uiPriority w:val="99"/>
    <w:rPr>
      <w:rFonts w:cs="Times New Roman"/>
      <w:sz w:val="18"/>
      <w:szCs w:val="18"/>
    </w:rPr>
  </w:style>
  <w:style w:type="character" w:customStyle="1" w:styleId="9">
    <w:name w:val="font161"/>
    <w:basedOn w:val="5"/>
    <w:qFormat/>
    <w:uiPriority w:val="0"/>
    <w:rPr>
      <w:rFonts w:hint="eastAsia" w:ascii="宋体" w:hAnsi="宋体" w:eastAsia="宋体" w:cs="宋体"/>
      <w:b/>
      <w:color w:val="000000"/>
      <w:sz w:val="32"/>
      <w:szCs w:val="32"/>
      <w:u w:val="none"/>
    </w:rPr>
  </w:style>
  <w:style w:type="character" w:customStyle="1" w:styleId="10">
    <w:name w:val="font121"/>
    <w:basedOn w:val="5"/>
    <w:qFormat/>
    <w:uiPriority w:val="0"/>
    <w:rPr>
      <w:rFonts w:hint="eastAsia" w:ascii="宋体" w:hAnsi="宋体" w:eastAsia="宋体" w:cs="宋体"/>
      <w:color w:val="000000"/>
      <w:sz w:val="22"/>
      <w:szCs w:val="22"/>
      <w:u w:val="none"/>
    </w:rPr>
  </w:style>
  <w:style w:type="character" w:customStyle="1" w:styleId="11">
    <w:name w:val="font21"/>
    <w:basedOn w:val="5"/>
    <w:qFormat/>
    <w:uiPriority w:val="0"/>
    <w:rPr>
      <w:rFonts w:hint="eastAsia" w:ascii="宋体" w:hAnsi="宋体" w:eastAsia="宋体" w:cs="宋体"/>
      <w:color w:val="000000"/>
      <w:sz w:val="22"/>
      <w:szCs w:val="22"/>
      <w:u w:val="none"/>
    </w:rPr>
  </w:style>
  <w:style w:type="character" w:customStyle="1" w:styleId="12">
    <w:name w:val="font131"/>
    <w:basedOn w:val="5"/>
    <w:qFormat/>
    <w:uiPriority w:val="0"/>
    <w:rPr>
      <w:rFonts w:hint="eastAsia" w:ascii="宋体" w:hAnsi="宋体" w:eastAsia="宋体" w:cs="宋体"/>
      <w:color w:val="000000"/>
      <w:sz w:val="20"/>
      <w:szCs w:val="20"/>
      <w:u w:val="none"/>
    </w:rPr>
  </w:style>
  <w:style w:type="character" w:customStyle="1" w:styleId="13">
    <w:name w:val="font61"/>
    <w:basedOn w:val="5"/>
    <w:qFormat/>
    <w:uiPriority w:val="0"/>
    <w:rPr>
      <w:rFonts w:hint="eastAsia" w:ascii="宋体" w:hAnsi="宋体" w:eastAsia="宋体" w:cs="宋体"/>
      <w:color w:val="000000"/>
      <w:sz w:val="20"/>
      <w:szCs w:val="20"/>
      <w:u w:val="none"/>
    </w:rPr>
  </w:style>
  <w:style w:type="character" w:customStyle="1" w:styleId="14">
    <w:name w:val="font101"/>
    <w:basedOn w:val="5"/>
    <w:qFormat/>
    <w:uiPriority w:val="0"/>
    <w:rPr>
      <w:rFonts w:hint="eastAsia" w:ascii="宋体" w:hAnsi="宋体" w:eastAsia="宋体" w:cs="宋体"/>
      <w:color w:val="000000"/>
      <w:sz w:val="20"/>
      <w:szCs w:val="20"/>
      <w:u w:val="none"/>
    </w:rPr>
  </w:style>
  <w:style w:type="character" w:customStyle="1" w:styleId="15">
    <w:name w:val="font112"/>
    <w:basedOn w:val="5"/>
    <w:qFormat/>
    <w:uiPriority w:val="0"/>
    <w:rPr>
      <w:rFonts w:hint="eastAsia" w:ascii="宋体" w:hAnsi="宋体" w:eastAsia="宋体" w:cs="宋体"/>
      <w:color w:val="000000"/>
      <w:sz w:val="18"/>
      <w:szCs w:val="18"/>
      <w:u w:val="none"/>
    </w:rPr>
  </w:style>
  <w:style w:type="character" w:customStyle="1" w:styleId="16">
    <w:name w:val="font151"/>
    <w:basedOn w:val="5"/>
    <w:qFormat/>
    <w:uiPriority w:val="0"/>
    <w:rPr>
      <w:rFonts w:hint="eastAsia" w:ascii="宋体" w:hAnsi="宋体" w:eastAsia="宋体" w:cs="宋体"/>
      <w:color w:val="000000"/>
      <w:sz w:val="18"/>
      <w:szCs w:val="18"/>
      <w:u w:val="none"/>
    </w:rPr>
  </w:style>
  <w:style w:type="character" w:customStyle="1" w:styleId="17">
    <w:name w:val="font91"/>
    <w:basedOn w:val="5"/>
    <w:qFormat/>
    <w:uiPriority w:val="0"/>
    <w:rPr>
      <w:rFonts w:hint="eastAsia" w:ascii="宋体" w:hAnsi="宋体" w:eastAsia="宋体" w:cs="宋体"/>
      <w:color w:val="000000"/>
      <w:sz w:val="18"/>
      <w:szCs w:val="18"/>
      <w:u w:val="none"/>
    </w:rPr>
  </w:style>
  <w:style w:type="character" w:customStyle="1" w:styleId="18">
    <w:name w:val="font141"/>
    <w:basedOn w:val="5"/>
    <w:qFormat/>
    <w:uiPriority w:val="0"/>
    <w:rPr>
      <w:rFonts w:hint="eastAsia" w:ascii="宋体" w:hAnsi="宋体" w:eastAsia="宋体" w:cs="宋体"/>
      <w:color w:val="000000"/>
      <w:sz w:val="12"/>
      <w:szCs w:val="12"/>
      <w:u w:val="none"/>
    </w:rPr>
  </w:style>
  <w:style w:type="character" w:customStyle="1" w:styleId="19">
    <w:name w:val="font71"/>
    <w:basedOn w:val="5"/>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1376</Words>
  <Characters>7849</Characters>
  <Lines>65</Lines>
  <Paragraphs>18</Paragraphs>
  <TotalTime>9</TotalTime>
  <ScaleCrop>false</ScaleCrop>
  <LinksUpToDate>false</LinksUpToDate>
  <CharactersWithSpaces>9207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2019-06-10T23:03:00Z</dcterms:created>
  <dc:creator>Windows 用户</dc:creator>
  <cp:lastModifiedBy>zfbgs</cp:lastModifiedBy>
  <dcterms:modified xsi:type="dcterms:W3CDTF">2024-04-18T16:19:55Z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