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于田县2018年人工草场饲草料地建设及配套排碱渠工程项目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700" w:lineRule="exact"/>
        <w:ind w:firstLine="643" w:firstLineChars="200"/>
        <w:jc w:val="center"/>
        <w:rPr>
          <w:rFonts w:ascii="楷体" w:hAnsi="楷体" w:eastAsia="楷体" w:cs="楷体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项目名称：新疆于田县2018年人工草场饲草料地建设及配套排碱渠工程项目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实施单位（公章）：新疆于田县农牧局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主管部门（公章）：新疆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于田县发改委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买苏木江·买买提明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6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该项目铺设地埋干管109.84公里，分干管187.44公里，地面支管236.05公里，滴灌带22676.5公里。排碱渠建设项目：配套附属建筑物148座，3.3千米防渗改建斗渠，配套水工建筑物37座，改建3.88千米田间砂石道路及配套改建涵桥4座。5.65千米排碱渠及配套改建涵桥3座，覆盖滴灌面积25400亩，渠道控制面积0.38万亩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本项目性质为2018年中央财政专项扶贫资金（统筹整合）资金[和地财农[2018]13号] 3300万元。当年财政专项扶贫资金项目。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该项目实施后，将加快于田县农业设施建设，满足今后经济的发展，建立起一套成熟的滴灌系统，真实作用于贫困人民生产生活。项目覆盖村23个。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2018年项目计划资金总额3300万元，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其中</w:t>
      </w:r>
      <w:r>
        <w:rPr>
          <w:rStyle w:val="6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中央财政专项扶贫资金（统筹整合）资金3300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万元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，2018年实际收到预算资金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3300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24" w:firstLineChars="200"/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本项目实际支出资金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2532.1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元，结余资金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767.9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已归入县财政局总账，项目预算执行率87.9%。项目主要用于5个滴管系统覆盖的25400亩滴灌面积。铺设地埋干管，分干管，地面支管，滴灌带。排碱渠及其配套附属建筑物148座，防渗改建斗渠，配套水工建筑物（节制分水闸13座，其中节制双向分水闸1座，单分水闸19座；农桥3座，渡槽1座），改建田间砂石道路及配套改建涵桥4座；新建2500米排碱渠，清淤3150米排碱渠，及排碱渠配套改建涵桥3座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spacing w:line="360" w:lineRule="auto"/>
        <w:ind w:firstLine="624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该项目属于财政专项扶贫资金项目,项目由于田县农牧局按照项目启动通知的内容执行落实，实施过程均按照本单位制定的管理制度执行。项目实施单位为</w:t>
      </w:r>
      <w:r>
        <w:rPr>
          <w:rStyle w:val="6"/>
          <w:rFonts w:hint="eastAsia" w:ascii="仿宋" w:hAnsi="仿宋" w:eastAsia="仿宋"/>
          <w:b w:val="0"/>
          <w:bCs w:val="0"/>
          <w:spacing w:val="-4"/>
          <w:sz w:val="32"/>
          <w:szCs w:val="32"/>
        </w:rPr>
        <w:t>于田县草原站。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</w:t>
      </w:r>
      <w:r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  <w:t xml:space="preserve"> </w:t>
      </w:r>
      <w:r>
        <w:rPr>
          <w:rStyle w:val="6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>2018</w:t>
      </w:r>
      <w:r>
        <w:rPr>
          <w:rStyle w:val="6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年11月经施工单位申请，由农牧局牵头联合其他各相关职能部门完成该项目验收。验收合格后按合同规定支付剩余资金。</w:t>
      </w:r>
    </w:p>
    <w:p>
      <w:pPr>
        <w:adjustRightInd w:val="0"/>
        <w:snapToGrid w:val="0"/>
        <w:spacing w:line="560" w:lineRule="exact"/>
        <w:ind w:firstLine="730" w:firstLineChars="250"/>
        <w:outlineLvl w:val="0"/>
        <w:rPr>
          <w:rStyle w:val="6"/>
          <w:rFonts w:ascii="仿宋" w:hAnsi="仿宋" w:eastAsia="仿宋"/>
          <w:b w:val="0"/>
          <w:spacing w:val="-4"/>
          <w:szCs w:val="30"/>
        </w:rPr>
      </w:pPr>
      <w:r>
        <w:rPr>
          <w:rStyle w:val="6"/>
          <w:rFonts w:ascii="仿宋" w:hAnsi="仿宋" w:eastAsia="仿宋"/>
          <w:b w:val="0"/>
          <w:spacing w:val="-4"/>
          <w:szCs w:val="30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个，二级指标8个，三级指标17个，其中已完成三级指标17个，指标完成率为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项目实际支出金额2900，较预算节省400万元，已归入于田县总账。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该项目为以工代赈项目，可增加贫困地区劳动者收入超过365万元，其中建档立卡贫困户以工代赈可增加236万元收入，提高当地农牧民，尤其是贫困户收入。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zh-CN"/>
        </w:rPr>
        <w:t>项目覆盖于田县23个村，将极大地改善农牧业生产基础条件，助力灌区各族人民的脱贫致富，具有很好的社会效益。</w:t>
      </w:r>
    </w:p>
    <w:p>
      <w:pPr>
        <w:numPr>
          <w:ilvl w:val="0"/>
          <w:numId w:val="1"/>
        </w:numPr>
        <w:spacing w:line="520" w:lineRule="exact"/>
        <w:ind w:firstLine="64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zh-CN"/>
        </w:rPr>
        <w:t>该工程的实施，可以对小区域的生态环境起到一定的保护作用，增强了抵御风沙的能力，有效保障了该地区的农业发展，改善了生态系统的平衡和稳定，带来一定的生态效益。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</w:t>
      </w:r>
      <w:r>
        <w:rPr>
          <w:rStyle w:val="6"/>
          <w:rFonts w:ascii="仿宋" w:hAnsi="仿宋" w:eastAsia="仿宋"/>
          <w:b w:val="0"/>
          <w:bCs w:val="0"/>
        </w:rPr>
        <w:t>4</w:t>
      </w:r>
      <w:r>
        <w:rPr>
          <w:rStyle w:val="6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草场不仅可以为当地农民带来持续性收入，在超过15年甚至更长的时间里绿化环境，防风固沙，为生态环境做出贡献。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严格执行扶贫资金管理办法和县财政资金管理制度，能按照实施方案执行项目管理办法。项目提高了人工草场的运载能力，为农牧民增收打下良好的物质基础。综合评价得分为90.8分。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在下一年度，针对该项目实施实际，对该项目进行持续监督，保证该项目带来的效益。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88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875"/>
        <w:gridCol w:w="1290"/>
        <w:gridCol w:w="1080"/>
        <w:gridCol w:w="108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Style w:val="11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85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2"/>
                <w:lang w:val="en-US" w:eastAsia="zh-CN" w:bidi="ar"/>
              </w:rPr>
              <w:t>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人工草场饲草料地建设及配套排碱渠工程项目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买苏木江·买买提明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于田县发改委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2532.1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其中：财政拨款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其中：和地财农[2018]13号中央财政专项扶贫资金（统筹整合）安排2910万元，和地财农[2018]13号中央财政专项扶贫资金（统筹整合）安排390万元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 xml:space="preserve">      其他资金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4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 </w:t>
            </w:r>
            <w:r>
              <w:rPr>
                <w:rStyle w:val="13"/>
                <w:lang w:val="en-US" w:eastAsia="zh-CN" w:bidi="ar"/>
              </w:rPr>
              <w:t>该项目滴灌面积25400亩，划分为5个滴管系统。铺设地埋干管109.84公里，分干管187.44公里，地面支管236.05公里，滴灌带22676.5公里。排碱渠建设项目：配套附属建筑物148座，防渗改建斗渠共计2条，总长3.3千米，配套水工建筑物37座（节制分水闸13座，其中节制双向分水闸1座，单分水闸19座；农桥3座，渡槽1座）改建田间砂石道路共计4条，总长3.88千米，砂石路面宽度4米，砂石路配套改建涵桥4座；排碱渠共计5条，总长5.65千米，其中新建2500米，清淤3150米，配套改建涵桥3座。渠道控制面积0.38万亩。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该项目滴灌面积25400亩，划分为5个滴管系统。铺设地埋干管109.84公里，分干管187.44公里，地面支管236.05公里，滴灌带22676.5公里。排碱渠建设项目：配套附属建筑物148座，防渗改建斗渠共计2条，总长3.3千米，配套水工建筑物37座（节制分水闸13座，其中节制双向分水闸1座，单分水闸19座；农桥3座，渡槽1座）改建田间砂石道路共计4条，总长3.88千米，砂石路面宽度4米，砂石路配套改建涵桥4座；排碱渠共计5条，总长5.65千米，其中新建2500米，清淤3150米，配套改建涵桥3座。渠道控制面积0.38万亩。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滴灌面积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≥26200亩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26200亩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项目审计结算后结余资金400万元。已上报县发改委重新安排项目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铺设地埋干管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≥109.84公里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109.84公里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分干管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≥187.44公里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187.44公里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地面支管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≥236.05公里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236.05公里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滴灌带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≥22676.5公里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22676.5公里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改造斗渠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≥3.3公里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田间砂石道路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≥3.88公里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3.88公里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排碱渠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≥5.65公里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5.65公里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配套水工建筑物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≥37座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工程验收合格率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工程完成及时率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贫困地区以工代赈项目增加劳动者收入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其中贫困地区以工代赈项目增加建档立卡贫困人口收入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≥236万元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贫困地区以工代赈项目受益村数量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≥23个村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23个村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改善区内生态环境、改善田间小气候，具有较长远的生态效益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持续使用年限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以工代赈参与群众满意度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85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</w:t>
            </w:r>
            <w:r>
              <w:rPr>
                <w:rStyle w:val="14"/>
                <w:lang w:val="en-US" w:eastAsia="zh-CN" w:bidi="ar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</w:t>
            </w:r>
            <w:r>
              <w:rPr>
                <w:rStyle w:val="14"/>
                <w:lang w:val="en-US" w:eastAsia="zh-CN" w:bidi="ar"/>
              </w:rPr>
              <w:t>≥*），则得分计算方法应用全年实际值/年度指标值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EA1081"/>
    <w:multiLevelType w:val="singleLevel"/>
    <w:tmpl w:val="8DEA1081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172A27"/>
    <w:rsid w:val="00000068"/>
    <w:rsid w:val="00036972"/>
    <w:rsid w:val="00046513"/>
    <w:rsid w:val="000960EE"/>
    <w:rsid w:val="000D4A61"/>
    <w:rsid w:val="000D78DE"/>
    <w:rsid w:val="00115B7D"/>
    <w:rsid w:val="00126E07"/>
    <w:rsid w:val="00144E88"/>
    <w:rsid w:val="00146837"/>
    <w:rsid w:val="001557EF"/>
    <w:rsid w:val="0017258E"/>
    <w:rsid w:val="0017406D"/>
    <w:rsid w:val="00190916"/>
    <w:rsid w:val="001B2A3D"/>
    <w:rsid w:val="001B3CDB"/>
    <w:rsid w:val="0020462E"/>
    <w:rsid w:val="002167D8"/>
    <w:rsid w:val="00234467"/>
    <w:rsid w:val="00235F97"/>
    <w:rsid w:val="00236A94"/>
    <w:rsid w:val="00262DBC"/>
    <w:rsid w:val="00264C08"/>
    <w:rsid w:val="002816E2"/>
    <w:rsid w:val="00297B13"/>
    <w:rsid w:val="00314D71"/>
    <w:rsid w:val="00347588"/>
    <w:rsid w:val="003525A1"/>
    <w:rsid w:val="00352637"/>
    <w:rsid w:val="00370323"/>
    <w:rsid w:val="003938DC"/>
    <w:rsid w:val="003B2DCD"/>
    <w:rsid w:val="003B7710"/>
    <w:rsid w:val="003C028A"/>
    <w:rsid w:val="003D78F9"/>
    <w:rsid w:val="003E6706"/>
    <w:rsid w:val="00406F9F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76AD6"/>
    <w:rsid w:val="00695EAA"/>
    <w:rsid w:val="00697172"/>
    <w:rsid w:val="006A0F22"/>
    <w:rsid w:val="006D2005"/>
    <w:rsid w:val="006F2174"/>
    <w:rsid w:val="00756CC5"/>
    <w:rsid w:val="0075743E"/>
    <w:rsid w:val="007B55D0"/>
    <w:rsid w:val="007C21BE"/>
    <w:rsid w:val="007D0CA6"/>
    <w:rsid w:val="007E50D5"/>
    <w:rsid w:val="007F0B0E"/>
    <w:rsid w:val="00800FCF"/>
    <w:rsid w:val="008164A7"/>
    <w:rsid w:val="00822642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5295E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BA6393"/>
    <w:rsid w:val="00BB42B0"/>
    <w:rsid w:val="00BD571E"/>
    <w:rsid w:val="00BF11C5"/>
    <w:rsid w:val="00C015B4"/>
    <w:rsid w:val="00C03071"/>
    <w:rsid w:val="00C206A7"/>
    <w:rsid w:val="00C367D1"/>
    <w:rsid w:val="00C61C93"/>
    <w:rsid w:val="00C75A3D"/>
    <w:rsid w:val="00C902E7"/>
    <w:rsid w:val="00CA4E4C"/>
    <w:rsid w:val="00CB07B5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C2722"/>
    <w:rsid w:val="00ED0106"/>
    <w:rsid w:val="00EF54A7"/>
    <w:rsid w:val="00F1227E"/>
    <w:rsid w:val="00F24AF7"/>
    <w:rsid w:val="00F731F6"/>
    <w:rsid w:val="00F94E33"/>
    <w:rsid w:val="00FA5F72"/>
    <w:rsid w:val="00FB12B7"/>
    <w:rsid w:val="00FB1A1D"/>
    <w:rsid w:val="00FB760D"/>
    <w:rsid w:val="00FC021C"/>
    <w:rsid w:val="1C504218"/>
    <w:rsid w:val="2D8B3B97"/>
    <w:rsid w:val="33130E84"/>
    <w:rsid w:val="562F7859"/>
    <w:rsid w:val="5D627B5A"/>
    <w:rsid w:val="6A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0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5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323</Words>
  <Characters>1844</Characters>
  <Lines>15</Lines>
  <Paragraphs>4</Paragraphs>
  <TotalTime>31</TotalTime>
  <ScaleCrop>false</ScaleCrop>
  <LinksUpToDate>false</LinksUpToDate>
  <CharactersWithSpaces>2163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Administrator</cp:lastModifiedBy>
  <dcterms:modified xsi:type="dcterms:W3CDTF">2019-06-20T12:49:05Z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