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281" w:lineRule="auto"/>
        <w:rPr>
          <w:rFonts w:ascii="Arial"/>
          <w:sz w:val="21"/>
        </w:rPr>
      </w:pPr>
    </w:p>
    <w:p>
      <w:pPr>
        <w:spacing w:before="143" w:line="218" w:lineRule="auto"/>
        <w:ind w:left="946"/>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4"/>
          <w:sz w:val="44"/>
          <w:szCs w:val="44"/>
        </w:rPr>
        <w:t>政府信息公开工作年度报告编制说明</w:t>
      </w:r>
    </w:p>
    <w:p>
      <w:pPr>
        <w:spacing w:line="307" w:lineRule="auto"/>
        <w:rPr>
          <w:rFonts w:ascii="Arial"/>
          <w:sz w:val="21"/>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信息公开工作年度报告分为6部分，分别是：1.总体情况；2.主动公开政府信息情况；3.收到和处理政府信息公开申请情况；4.政府信息公开行政复议、行政诉讼情况；5.存在的主要问题及改进情况；6.其他需要报告的事项。</w:t>
      </w:r>
    </w:p>
    <w:p>
      <w:pPr>
        <w:keepNext w:val="0"/>
        <w:keepLines w:val="0"/>
        <w:pageBreakBefore w:val="0"/>
        <w:widowControl w:val="0"/>
        <w:kinsoku/>
        <w:overflowPunct/>
        <w:topLinePunct w:val="0"/>
        <w:autoSpaceDE/>
        <w:autoSpaceDN/>
        <w:bidi w:val="0"/>
        <w:adjustRightInd/>
        <w:snapToGrid/>
        <w:spacing w:line="560" w:lineRule="exact"/>
        <w:ind w:left="0"/>
        <w:textAlignment w:val="auto"/>
        <w:outlineLvl w:val="0"/>
        <w:rPr>
          <w:rFonts w:ascii="黑体" w:hAnsi="黑体" w:eastAsia="黑体" w:cs="黑体"/>
          <w:b w:val="0"/>
          <w:bCs w:val="0"/>
          <w:sz w:val="32"/>
          <w:szCs w:val="32"/>
        </w:rPr>
      </w:pPr>
      <w:r>
        <w:rPr>
          <w:rFonts w:hint="eastAsia" w:ascii="黑体" w:hAnsi="黑体" w:eastAsia="黑体" w:cs="黑体"/>
          <w:b w:val="0"/>
          <w:bCs w:val="0"/>
          <w:spacing w:val="3"/>
          <w:sz w:val="32"/>
          <w:szCs w:val="32"/>
          <w:lang w:val="en-US" w:eastAsia="zh-CN"/>
        </w:rPr>
        <w:t xml:space="preserve">    </w:t>
      </w:r>
      <w:r>
        <w:rPr>
          <w:rFonts w:ascii="黑体" w:hAnsi="黑体" w:eastAsia="黑体" w:cs="黑体"/>
          <w:b w:val="0"/>
          <w:bCs w:val="0"/>
          <w:spacing w:val="3"/>
          <w:sz w:val="32"/>
          <w:szCs w:val="32"/>
        </w:rPr>
        <w:t>一、总体情况</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该部分采用文字描述。</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这一项主要报告本机关上一年度政府信息公开工作总体情况，对本机关贯彻落实《中华人民共和国政府信息公开条例》情况进行综述，主要包括5个方面：主动公开、依申请公开、政府信息管理、平台建设、监督保障(含《中华人民共和国政府信息公开条例》第五十条第四项规定的各级人民政府“工作考核、社会评议和责任追究结果情况”)等方面，重在聚焦主题、简明客观，该部分叙述篇幅原则上不超过1000字。</w:t>
      </w:r>
    </w:p>
    <w:p>
      <w:pPr>
        <w:keepNext w:val="0"/>
        <w:keepLines w:val="0"/>
        <w:pageBreakBefore w:val="0"/>
        <w:widowControl w:val="0"/>
        <w:kinsoku/>
        <w:wordWrap/>
        <w:overflowPunct/>
        <w:topLinePunct/>
        <w:autoSpaceDE/>
        <w:autoSpaceDN/>
        <w:bidi w:val="0"/>
        <w:adjustRightInd/>
        <w:snapToGrid/>
        <w:spacing w:line="560" w:lineRule="exact"/>
        <w:ind w:left="0" w:firstLine="652" w:firstLineChars="200"/>
        <w:textAlignment w:val="auto"/>
        <w:outlineLvl w:val="0"/>
        <w:rPr>
          <w:rFonts w:ascii="黑体" w:hAnsi="黑体" w:eastAsia="黑体" w:cs="黑体"/>
          <w:b w:val="0"/>
          <w:bCs w:val="0"/>
          <w:spacing w:val="3"/>
          <w:sz w:val="32"/>
          <w:szCs w:val="32"/>
        </w:rPr>
      </w:pPr>
      <w:r>
        <w:rPr>
          <w:rFonts w:ascii="黑体" w:hAnsi="黑体" w:eastAsia="黑体" w:cs="黑体"/>
          <w:b w:val="0"/>
          <w:bCs w:val="0"/>
          <w:spacing w:val="3"/>
          <w:sz w:val="32"/>
          <w:szCs w:val="32"/>
        </w:rPr>
        <w:t>二、主动公开政府信息情况</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textAlignment w:val="auto"/>
        <w:rPr>
          <w:rFonts w:ascii="宋体" w:hAnsi="宋体" w:eastAsia="宋体" w:cs="宋体"/>
          <w:sz w:val="32"/>
          <w:szCs w:val="32"/>
        </w:rPr>
      </w:pPr>
      <w:r>
        <w:rPr>
          <w:rFonts w:hint="eastAsia" w:ascii="仿宋_GB2312" w:hAnsi="仿宋_GB2312" w:eastAsia="仿宋_GB2312" w:cs="仿宋_GB2312"/>
          <w:sz w:val="32"/>
          <w:szCs w:val="32"/>
          <w:lang w:val="en-US" w:eastAsia="zh-CN"/>
        </w:rPr>
        <w:t>该部分以表格形式报告。</w:t>
      </w:r>
    </w:p>
    <w:p>
      <w:pPr>
        <w:keepNext w:val="0"/>
        <w:keepLines w:val="0"/>
        <w:pageBreakBefore w:val="0"/>
        <w:widowControl w:val="0"/>
        <w:kinsoku/>
        <w:wordWrap/>
        <w:overflowPunct/>
        <w:topLinePunct/>
        <w:autoSpaceDE/>
        <w:autoSpaceDN/>
        <w:bidi w:val="0"/>
        <w:adjustRightInd/>
        <w:snapToGrid/>
        <w:spacing w:line="560" w:lineRule="exact"/>
        <w:ind w:left="0" w:firstLine="640" w:firstLineChars="200"/>
        <w:textAlignment w:val="auto"/>
        <w:rPr>
          <w:sz w:val="32"/>
          <w:szCs w:val="32"/>
        </w:rPr>
        <w:sectPr>
          <w:footerReference r:id="rId5" w:type="default"/>
          <w:pgSz w:w="11905" w:h="16838"/>
          <w:pgMar w:top="1701" w:right="1474" w:bottom="1531" w:left="1587" w:header="0" w:footer="1071" w:gutter="0"/>
          <w:pgNumType w:fmt="decimal"/>
          <w:cols w:space="0" w:num="1"/>
          <w:rtlGutter w:val="0"/>
          <w:docGrid w:linePitch="0" w:charSpace="0"/>
        </w:sectPr>
      </w:pPr>
      <w:r>
        <w:rPr>
          <w:rFonts w:hint="eastAsia" w:ascii="仿宋_GB2312" w:hAnsi="仿宋_GB2312" w:eastAsia="仿宋_GB2312" w:cs="仿宋_GB2312"/>
          <w:sz w:val="32"/>
          <w:szCs w:val="32"/>
          <w:lang w:val="en-US" w:eastAsia="zh-CN"/>
        </w:rPr>
        <w:t>表格如下：</w:t>
      </w:r>
    </w:p>
    <w:tbl>
      <w:tblPr>
        <w:tblStyle w:val="8"/>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0"/>
        <w:gridCol w:w="2041"/>
        <w:gridCol w:w="1932"/>
        <w:gridCol w:w="2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020" w:type="dxa"/>
            <w:gridSpan w:val="4"/>
            <w:vAlign w:val="center"/>
          </w:tcPr>
          <w:p>
            <w:pPr>
              <w:pStyle w:val="9"/>
              <w:spacing w:before="34"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030" w:type="dxa"/>
            <w:vAlign w:val="center"/>
          </w:tcPr>
          <w:p>
            <w:pPr>
              <w:pStyle w:val="9"/>
              <w:spacing w:before="61"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2041" w:type="dxa"/>
            <w:vAlign w:val="center"/>
          </w:tcPr>
          <w:p>
            <w:pPr>
              <w:pStyle w:val="9"/>
              <w:spacing w:before="29"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本年制发件数</w:t>
            </w:r>
          </w:p>
        </w:tc>
        <w:tc>
          <w:tcPr>
            <w:tcW w:w="1932" w:type="dxa"/>
            <w:vAlign w:val="center"/>
          </w:tcPr>
          <w:p>
            <w:pPr>
              <w:pStyle w:val="9"/>
              <w:spacing w:before="19"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本年废止件数</w:t>
            </w:r>
          </w:p>
        </w:tc>
        <w:tc>
          <w:tcPr>
            <w:tcW w:w="2017" w:type="dxa"/>
            <w:vAlign w:val="center"/>
          </w:tcPr>
          <w:p>
            <w:pPr>
              <w:pStyle w:val="9"/>
              <w:spacing w:before="41"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030" w:type="dxa"/>
            <w:vAlign w:val="center"/>
          </w:tcPr>
          <w:p>
            <w:pPr>
              <w:pStyle w:val="9"/>
              <w:spacing w:before="50" w:line="219" w:lineRule="auto"/>
              <w:ind w:left="85"/>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规章</w:t>
            </w:r>
          </w:p>
        </w:tc>
        <w:tc>
          <w:tcPr>
            <w:tcW w:w="2041" w:type="dxa"/>
            <w:vAlign w:val="center"/>
          </w:tcPr>
          <w:p>
            <w:pPr>
              <w:jc w:val="center"/>
              <w:rPr>
                <w:rFonts w:hint="eastAsia" w:ascii="仿宋_GB2312" w:hAnsi="仿宋_GB2312" w:eastAsia="仿宋_GB2312" w:cs="仿宋_GB2312"/>
                <w:sz w:val="21"/>
                <w:szCs w:val="21"/>
              </w:rPr>
            </w:pPr>
          </w:p>
        </w:tc>
        <w:tc>
          <w:tcPr>
            <w:tcW w:w="1932" w:type="dxa"/>
            <w:vAlign w:val="center"/>
          </w:tcPr>
          <w:p>
            <w:pPr>
              <w:jc w:val="center"/>
              <w:rPr>
                <w:rFonts w:hint="eastAsia" w:ascii="仿宋_GB2312" w:hAnsi="仿宋_GB2312" w:eastAsia="仿宋_GB2312" w:cs="仿宋_GB2312"/>
                <w:sz w:val="21"/>
                <w:szCs w:val="21"/>
              </w:rPr>
            </w:pPr>
          </w:p>
        </w:tc>
        <w:tc>
          <w:tcPr>
            <w:tcW w:w="2017" w:type="dxa"/>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030" w:type="dxa"/>
            <w:vAlign w:val="center"/>
          </w:tcPr>
          <w:p>
            <w:pPr>
              <w:pStyle w:val="9"/>
              <w:spacing w:before="42" w:line="219" w:lineRule="auto"/>
              <w:ind w:left="85"/>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规范性文件</w:t>
            </w:r>
          </w:p>
        </w:tc>
        <w:tc>
          <w:tcPr>
            <w:tcW w:w="2041" w:type="dxa"/>
            <w:vAlign w:val="center"/>
          </w:tcPr>
          <w:p>
            <w:pPr>
              <w:jc w:val="center"/>
              <w:rPr>
                <w:rFonts w:hint="eastAsia" w:ascii="仿宋_GB2312" w:hAnsi="仿宋_GB2312" w:eastAsia="仿宋_GB2312" w:cs="仿宋_GB2312"/>
                <w:sz w:val="21"/>
                <w:szCs w:val="21"/>
              </w:rPr>
            </w:pPr>
          </w:p>
        </w:tc>
        <w:tc>
          <w:tcPr>
            <w:tcW w:w="1932" w:type="dxa"/>
            <w:vAlign w:val="center"/>
          </w:tcPr>
          <w:p>
            <w:pPr>
              <w:jc w:val="center"/>
              <w:rPr>
                <w:rFonts w:hint="eastAsia" w:ascii="仿宋_GB2312" w:hAnsi="仿宋_GB2312" w:eastAsia="仿宋_GB2312" w:cs="仿宋_GB2312"/>
                <w:sz w:val="21"/>
                <w:szCs w:val="21"/>
              </w:rPr>
            </w:pPr>
          </w:p>
        </w:tc>
        <w:tc>
          <w:tcPr>
            <w:tcW w:w="2017" w:type="dxa"/>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020" w:type="dxa"/>
            <w:gridSpan w:val="4"/>
            <w:vAlign w:val="center"/>
          </w:tcPr>
          <w:p>
            <w:pPr>
              <w:pStyle w:val="9"/>
              <w:spacing w:before="43"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030" w:type="dxa"/>
            <w:vAlign w:val="center"/>
          </w:tcPr>
          <w:p>
            <w:pPr>
              <w:pStyle w:val="9"/>
              <w:spacing w:before="43"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5990" w:type="dxa"/>
            <w:gridSpan w:val="3"/>
            <w:vAlign w:val="center"/>
          </w:tcPr>
          <w:p>
            <w:pPr>
              <w:pStyle w:val="9"/>
              <w:spacing w:before="72"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030" w:type="dxa"/>
            <w:vAlign w:val="center"/>
          </w:tcPr>
          <w:p>
            <w:pPr>
              <w:pStyle w:val="9"/>
              <w:spacing w:before="45" w:line="22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行政许可</w:t>
            </w:r>
          </w:p>
        </w:tc>
        <w:tc>
          <w:tcPr>
            <w:tcW w:w="5990" w:type="dxa"/>
            <w:gridSpan w:val="3"/>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020" w:type="dxa"/>
            <w:gridSpan w:val="4"/>
            <w:vAlign w:val="center"/>
          </w:tcPr>
          <w:p>
            <w:pPr>
              <w:pStyle w:val="9"/>
              <w:spacing w:before="34"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030" w:type="dxa"/>
            <w:vAlign w:val="center"/>
          </w:tcPr>
          <w:p>
            <w:pPr>
              <w:pStyle w:val="9"/>
              <w:spacing w:before="66"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5990" w:type="dxa"/>
            <w:gridSpan w:val="3"/>
            <w:vAlign w:val="center"/>
          </w:tcPr>
          <w:p>
            <w:pPr>
              <w:pStyle w:val="9"/>
              <w:spacing w:before="64"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030" w:type="dxa"/>
            <w:vAlign w:val="center"/>
          </w:tcPr>
          <w:p>
            <w:pPr>
              <w:pStyle w:val="9"/>
              <w:spacing w:before="77" w:line="220" w:lineRule="auto"/>
              <w:ind w:left="85"/>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行政处罚</w:t>
            </w:r>
          </w:p>
        </w:tc>
        <w:tc>
          <w:tcPr>
            <w:tcW w:w="5990" w:type="dxa"/>
            <w:gridSpan w:val="3"/>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030" w:type="dxa"/>
            <w:vAlign w:val="center"/>
          </w:tcPr>
          <w:p>
            <w:pPr>
              <w:pStyle w:val="9"/>
              <w:spacing w:before="78" w:line="220" w:lineRule="auto"/>
              <w:ind w:left="85"/>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行政强制</w:t>
            </w:r>
          </w:p>
        </w:tc>
        <w:tc>
          <w:tcPr>
            <w:tcW w:w="5990" w:type="dxa"/>
            <w:gridSpan w:val="3"/>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020" w:type="dxa"/>
            <w:gridSpan w:val="4"/>
            <w:vAlign w:val="center"/>
          </w:tcPr>
          <w:p>
            <w:pPr>
              <w:pStyle w:val="9"/>
              <w:spacing w:before="78"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030" w:type="dxa"/>
            <w:vAlign w:val="center"/>
          </w:tcPr>
          <w:p>
            <w:pPr>
              <w:pStyle w:val="9"/>
              <w:spacing w:before="59"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信息内容</w:t>
            </w:r>
          </w:p>
        </w:tc>
        <w:tc>
          <w:tcPr>
            <w:tcW w:w="5990" w:type="dxa"/>
            <w:gridSpan w:val="3"/>
            <w:vAlign w:val="center"/>
          </w:tcPr>
          <w:p>
            <w:pPr>
              <w:pStyle w:val="9"/>
              <w:spacing w:before="68" w:line="21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030" w:type="dxa"/>
            <w:vAlign w:val="center"/>
          </w:tcPr>
          <w:p>
            <w:pPr>
              <w:pStyle w:val="9"/>
              <w:spacing w:before="60" w:line="219" w:lineRule="auto"/>
              <w:ind w:left="85"/>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行政事业性收费</w:t>
            </w:r>
          </w:p>
        </w:tc>
        <w:tc>
          <w:tcPr>
            <w:tcW w:w="5990" w:type="dxa"/>
            <w:gridSpan w:val="3"/>
            <w:vAlign w:val="center"/>
          </w:tcPr>
          <w:p>
            <w:pPr>
              <w:jc w:val="center"/>
              <w:rPr>
                <w:rFonts w:hint="eastAsia" w:ascii="仿宋_GB2312" w:hAnsi="仿宋_GB2312" w:eastAsia="仿宋_GB2312" w:cs="仿宋_GB2312"/>
                <w:sz w:val="21"/>
                <w:szCs w:val="21"/>
              </w:rPr>
            </w:pPr>
          </w:p>
        </w:tc>
      </w:tr>
    </w:tbl>
    <w:p/>
    <w:p>
      <w:pPr>
        <w:spacing w:before="162" w:line="570" w:lineRule="exact"/>
        <w:ind w:left="834"/>
        <w:rPr>
          <w:rFonts w:ascii="楷体" w:hAnsi="楷体" w:eastAsia="楷体" w:cs="楷体"/>
          <w:sz w:val="32"/>
          <w:szCs w:val="32"/>
        </w:rPr>
      </w:pPr>
      <w:r>
        <w:rPr>
          <w:rFonts w:ascii="楷体" w:hAnsi="楷体" w:eastAsia="楷体" w:cs="楷体"/>
          <w:b/>
          <w:bCs/>
          <w:spacing w:val="17"/>
          <w:position w:val="19"/>
          <w:sz w:val="32"/>
          <w:szCs w:val="32"/>
        </w:rPr>
        <w:t>(一)填表说明</w:t>
      </w:r>
    </w:p>
    <w:p>
      <w:pPr>
        <w:spacing w:before="1" w:line="218" w:lineRule="auto"/>
        <w:ind w:left="674"/>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rPr>
        <w:t>规章</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《立法法》规定，省、自治区、直辖市和设区的市、自治州的人民政府，可以根据法律、行政法规和本省、自治区、直辖市的地方性法规，制定规章(</w:t>
      </w:r>
      <w:r>
        <w:rPr>
          <w:rFonts w:hint="eastAsia" w:ascii="仿宋_GB2312" w:hAnsi="仿宋_GB2312" w:eastAsia="仿宋_GB2312" w:cs="仿宋_GB2312"/>
          <w:spacing w:val="13"/>
          <w:sz w:val="32"/>
          <w:szCs w:val="32"/>
          <w:lang w:val="en-US" w:eastAsia="zh-CN"/>
        </w:rPr>
        <w:t>注：自治区政府部门起草的规章，最终以自治区政府名义印发，此处不计入本部门的统计数量)</w:t>
      </w:r>
      <w:r>
        <w:rPr>
          <w:rFonts w:hint="eastAsia" w:ascii="仿宋_GB2312" w:hAnsi="仿宋_GB2312" w:eastAsia="仿宋_GB2312" w:cs="仿宋_GB2312"/>
          <w:sz w:val="32"/>
          <w:szCs w:val="32"/>
          <w:lang w:val="en-US" w:eastAsia="zh-CN"/>
        </w:rPr>
        <w:t>。没有的填“0”,不得空白或者填入其他内容。各项数据核定时间点为2024年12月31日。</w:t>
      </w:r>
    </w:p>
    <w:p>
      <w:pPr>
        <w:keepNext w:val="0"/>
        <w:keepLines w:val="0"/>
        <w:pageBreakBefore w:val="0"/>
        <w:widowControl w:val="0"/>
        <w:numPr>
          <w:ilvl w:val="0"/>
          <w:numId w:val="0"/>
        </w:numPr>
        <w:kinsoku/>
        <w:overflowPunct/>
        <w:autoSpaceDE/>
        <w:autoSpaceDN/>
        <w:bidi w:val="0"/>
        <w:adjustRightInd/>
        <w:snapToGrid/>
        <w:spacing w:before="1"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规范性文件</w:t>
      </w:r>
    </w:p>
    <w:p>
      <w:pPr>
        <w:keepNext w:val="0"/>
        <w:keepLines w:val="0"/>
        <w:pageBreakBefore w:val="0"/>
        <w:widowControl w:val="0"/>
        <w:numPr>
          <w:ilvl w:val="0"/>
          <w:numId w:val="0"/>
        </w:numPr>
        <w:kinsoku/>
        <w:wordWrap/>
        <w:overflowPunct/>
        <w:topLinePunct w:val="0"/>
        <w:autoSpaceDE/>
        <w:autoSpaceDN/>
        <w:bidi w:val="0"/>
        <w:adjustRightInd/>
        <w:snapToGrid/>
        <w:spacing w:before="1"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本年制发数量”,填报本年度(注：以文件印发日期为计算截止时点)以本机关名义(注：代政府起草的规范性文件，不计入起草部门的统计数量，下同)制作的行政规范性文件</w:t>
      </w:r>
      <w:r>
        <w:rPr>
          <w:rFonts w:hint="eastAsia" w:ascii="仿宋_GB2312" w:hAnsi="仿宋_GB2312" w:eastAsia="仿宋_GB2312" w:cs="仿宋_GB2312"/>
          <w:spacing w:val="18"/>
          <w:sz w:val="32"/>
          <w:szCs w:val="32"/>
        </w:rPr>
        <w:t>(注</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3"/>
          <w:sz w:val="32"/>
          <w:szCs w:val="32"/>
        </w:rPr>
        <w:t>国办发〔2018〕37号规定，规范性文件是指除政府规章外，由</w:t>
      </w:r>
      <w:r>
        <w:rPr>
          <w:rFonts w:hint="eastAsia" w:ascii="仿宋_GB2312" w:hAnsi="仿宋_GB2312" w:eastAsia="仿宋_GB2312" w:cs="仿宋_GB2312"/>
          <w:spacing w:val="1"/>
          <w:sz w:val="32"/>
          <w:szCs w:val="32"/>
        </w:rPr>
        <w:t>行政机关或者经法律、法规授权的具有管理公共事务职能的组织</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4"/>
          <w:sz w:val="32"/>
          <w:szCs w:val="32"/>
        </w:rPr>
        <w:t>依照法定权限、程序制定并公开发布，涉及公民、法人和其他组</w:t>
      </w:r>
      <w:r>
        <w:rPr>
          <w:rFonts w:hint="eastAsia" w:ascii="仿宋_GB2312" w:hAnsi="仿宋_GB2312" w:eastAsia="仿宋_GB2312" w:cs="仿宋_GB2312"/>
          <w:spacing w:val="7"/>
          <w:sz w:val="32"/>
          <w:szCs w:val="32"/>
        </w:rPr>
        <w:t>织权利义务，具有普遍约束力，在一定期限内反复适用的公文</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19"/>
          <w:sz w:val="32"/>
          <w:szCs w:val="32"/>
        </w:rPr>
        <w:t>此处不统计其他类型的公文)</w:t>
      </w:r>
      <w:r>
        <w:rPr>
          <w:rFonts w:hint="eastAsia" w:ascii="仿宋_GB2312" w:hAnsi="仿宋_GB2312" w:eastAsia="仿宋_GB2312" w:cs="仿宋_GB2312"/>
          <w:sz w:val="32"/>
          <w:szCs w:val="32"/>
          <w:lang w:val="en-US" w:eastAsia="zh-CN"/>
        </w:rPr>
        <w:t>的数量，没有的填“0”,不得空白或者填入其他内容。各项数据核定时间点为2024年12月31日。</w:t>
      </w:r>
    </w:p>
    <w:p>
      <w:pPr>
        <w:keepNext w:val="0"/>
        <w:keepLines w:val="0"/>
        <w:pageBreakBefore w:val="0"/>
        <w:widowControl w:val="0"/>
        <w:numPr>
          <w:ilvl w:val="0"/>
          <w:numId w:val="0"/>
        </w:numPr>
        <w:kinsoku/>
        <w:overflowPunct/>
        <w:autoSpaceDE/>
        <w:autoSpaceDN/>
        <w:bidi w:val="0"/>
        <w:adjustRightInd/>
        <w:snapToGrid/>
        <w:spacing w:before="1"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rPr>
        <w:t>行政许可</w:t>
      </w:r>
    </w:p>
    <w:p>
      <w:pPr>
        <w:keepNext w:val="0"/>
        <w:keepLines w:val="0"/>
        <w:pageBreakBefore w:val="0"/>
        <w:widowControl w:val="0"/>
        <w:numPr>
          <w:ilvl w:val="0"/>
          <w:numId w:val="0"/>
        </w:numPr>
        <w:kinsoku/>
        <w:wordWrap/>
        <w:overflowPunct/>
        <w:topLinePunct w:val="0"/>
        <w:autoSpaceDE/>
        <w:autoSpaceDN/>
        <w:bidi w:val="0"/>
        <w:adjustRightInd/>
        <w:snapToGrid/>
        <w:spacing w:before="1" w:line="560" w:lineRule="exact"/>
        <w:ind w:firstLine="674"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b/>
          <w:bCs/>
          <w:spacing w:val="8"/>
          <w:sz w:val="32"/>
          <w:szCs w:val="32"/>
        </w:rPr>
        <w:t>“本年处理决定数量”</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lang w:val="en-US" w:eastAsia="zh-CN"/>
        </w:rPr>
        <w:t>填报本年度本机关作出的行政许可决定数量，没有的填“0”,不得空白或者填入其他内容</w:t>
      </w:r>
      <w:r>
        <w:rPr>
          <w:rFonts w:hint="eastAsia" w:ascii="仿宋_GB2312" w:hAnsi="仿宋_GB2312" w:eastAsia="仿宋_GB2312" w:cs="仿宋_GB2312"/>
          <w:spacing w:val="19"/>
          <w:sz w:val="32"/>
          <w:szCs w:val="32"/>
        </w:rPr>
        <w:t>(</w:t>
      </w:r>
      <w:r>
        <w:rPr>
          <w:rFonts w:hint="eastAsia" w:ascii="仿宋_GB2312" w:hAnsi="仿宋_GB2312" w:eastAsia="仿宋_GB2312" w:cs="仿宋_GB2312"/>
          <w:spacing w:val="1"/>
          <w:sz w:val="32"/>
          <w:szCs w:val="32"/>
        </w:rPr>
        <w:t>注</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(1)包括已公开和依法未公开的全部处理决定。(2)各项数据核定时间点为</w:t>
      </w:r>
      <w:r>
        <w:rPr>
          <w:rFonts w:hint="eastAsia" w:ascii="仿宋_GB2312" w:hAnsi="仿宋_GB2312" w:eastAsia="仿宋_GB2312" w:cs="仿宋_GB2312"/>
          <w:spacing w:val="1"/>
          <w:sz w:val="32"/>
          <w:szCs w:val="32"/>
          <w:lang w:eastAsia="zh-CN"/>
        </w:rPr>
        <w:t>2024年</w:t>
      </w:r>
      <w:r>
        <w:rPr>
          <w:rFonts w:hint="eastAsia" w:ascii="仿宋_GB2312" w:hAnsi="仿宋_GB2312" w:eastAsia="仿宋_GB2312" w:cs="仿宋_GB2312"/>
          <w:spacing w:val="1"/>
          <w:sz w:val="32"/>
          <w:szCs w:val="32"/>
        </w:rPr>
        <w:t>12月31日)。</w:t>
      </w:r>
    </w:p>
    <w:p>
      <w:pPr>
        <w:keepNext w:val="0"/>
        <w:keepLines w:val="0"/>
        <w:pageBreakBefore w:val="0"/>
        <w:widowControl w:val="0"/>
        <w:numPr>
          <w:ilvl w:val="0"/>
          <w:numId w:val="0"/>
        </w:numPr>
        <w:kinsoku/>
        <w:overflowPunct/>
        <w:autoSpaceDE/>
        <w:autoSpaceDN/>
        <w:bidi w:val="0"/>
        <w:adjustRightInd/>
        <w:snapToGrid/>
        <w:spacing w:before="1"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4</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1"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同“行政许可”。</w:t>
      </w:r>
    </w:p>
    <w:p>
      <w:pPr>
        <w:keepNext w:val="0"/>
        <w:keepLines w:val="0"/>
        <w:pageBreakBefore w:val="0"/>
        <w:widowControl w:val="0"/>
        <w:numPr>
          <w:ilvl w:val="0"/>
          <w:numId w:val="0"/>
        </w:numPr>
        <w:kinsoku/>
        <w:overflowPunct/>
        <w:autoSpaceDE/>
        <w:autoSpaceDN/>
        <w:bidi w:val="0"/>
        <w:adjustRightInd/>
        <w:snapToGrid/>
        <w:spacing w:before="1"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5</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行政强制</w:t>
      </w:r>
    </w:p>
    <w:p>
      <w:pPr>
        <w:keepNext w:val="0"/>
        <w:keepLines w:val="0"/>
        <w:pageBreakBefore w:val="0"/>
        <w:widowControl w:val="0"/>
        <w:numPr>
          <w:ilvl w:val="0"/>
          <w:numId w:val="0"/>
        </w:numPr>
        <w:kinsoku/>
        <w:wordWrap/>
        <w:overflowPunct/>
        <w:topLinePunct w:val="0"/>
        <w:autoSpaceDE/>
        <w:autoSpaceDN/>
        <w:bidi w:val="0"/>
        <w:adjustRightInd/>
        <w:snapToGrid/>
        <w:spacing w:before="1"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同“行政许可”。</w:t>
      </w:r>
    </w:p>
    <w:p>
      <w:pPr>
        <w:spacing w:before="161" w:line="224" w:lineRule="auto"/>
        <w:ind w:left="794"/>
        <w:rPr>
          <w:rFonts w:ascii="楷体" w:hAnsi="楷体" w:eastAsia="楷体" w:cs="楷体"/>
          <w:sz w:val="32"/>
          <w:szCs w:val="32"/>
        </w:rPr>
      </w:pPr>
      <w:r>
        <w:rPr>
          <w:rFonts w:ascii="楷体" w:hAnsi="楷体" w:eastAsia="楷体" w:cs="楷体"/>
          <w:b/>
          <w:bCs/>
          <w:spacing w:val="26"/>
          <w:sz w:val="32"/>
          <w:szCs w:val="32"/>
        </w:rPr>
        <w:t>(二)注意事项</w:t>
      </w:r>
    </w:p>
    <w:p>
      <w:pPr>
        <w:keepNext w:val="0"/>
        <w:keepLines w:val="0"/>
        <w:pageBreakBefore w:val="0"/>
        <w:widowControl w:val="0"/>
        <w:numPr>
          <w:ilvl w:val="0"/>
          <w:numId w:val="0"/>
        </w:numPr>
        <w:kinsoku/>
        <w:wordWrap/>
        <w:overflowPunct/>
        <w:topLinePunct w:val="0"/>
        <w:autoSpaceDE/>
        <w:autoSpaceDN/>
        <w:bidi w:val="0"/>
        <w:adjustRightInd/>
        <w:snapToGrid/>
        <w:spacing w:before="1"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州、市)政府信息公开年报中的“规范性文件”“本年处理决定数量”等数据，应对所属部门和县级政府信息公开年报的相关数据进行加总；“行政许可”“行政处罚”“行政强制”的“本年处理决定数量”,应根据行政权力清单、公共服务事项清单据实填报；“行政事业性收费”的“本年收费金额”,应根据财政部门发布的行政事业性收费项目清单据实填报，不宜直接对所属行政机关填报的数据进行简单汇总。</w:t>
      </w:r>
    </w:p>
    <w:p>
      <w:pPr>
        <w:spacing w:before="197" w:line="222" w:lineRule="auto"/>
        <w:ind w:left="869"/>
        <w:outlineLvl w:val="0"/>
        <w:rPr>
          <w:rFonts w:ascii="黑体" w:hAnsi="黑体" w:eastAsia="黑体" w:cs="黑体"/>
          <w:b w:val="0"/>
          <w:bCs w:val="0"/>
          <w:sz w:val="32"/>
          <w:szCs w:val="32"/>
        </w:rPr>
      </w:pPr>
      <w:r>
        <w:rPr>
          <w:rFonts w:ascii="黑体" w:hAnsi="黑体" w:eastAsia="黑体" w:cs="黑体"/>
          <w:b w:val="0"/>
          <w:bCs w:val="0"/>
          <w:spacing w:val="-2"/>
          <w:sz w:val="32"/>
          <w:szCs w:val="32"/>
        </w:rPr>
        <w:t>三、收到和处理政府信息公开申请情况</w:t>
      </w:r>
    </w:p>
    <w:p>
      <w:pPr>
        <w:keepNext w:val="0"/>
        <w:keepLines w:val="0"/>
        <w:pageBreakBefore w:val="0"/>
        <w:widowControl w:val="0"/>
        <w:numPr>
          <w:ilvl w:val="0"/>
          <w:numId w:val="0"/>
        </w:numPr>
        <w:kinsoku/>
        <w:wordWrap/>
        <w:overflowPunct/>
        <w:topLinePunct w:val="0"/>
        <w:autoSpaceDE/>
        <w:autoSpaceDN/>
        <w:bidi w:val="0"/>
        <w:adjustRightInd/>
        <w:snapToGrid/>
        <w:spacing w:before="1"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该部分以表格形式报告。表格如下：</w:t>
      </w:r>
    </w:p>
    <w:p>
      <w:pPr>
        <w:keepNext w:val="0"/>
        <w:keepLines w:val="0"/>
        <w:pageBreakBefore w:val="0"/>
        <w:widowControl w:val="0"/>
        <w:numPr>
          <w:ilvl w:val="0"/>
          <w:numId w:val="0"/>
        </w:numPr>
        <w:kinsoku/>
        <w:wordWrap/>
        <w:overflowPunct/>
        <w:topLinePunct w:val="0"/>
        <w:autoSpaceDE/>
        <w:autoSpaceDN/>
        <w:bidi w:val="0"/>
        <w:adjustRightInd/>
        <w:snapToGrid/>
        <w:spacing w:before="1" w:line="560" w:lineRule="exact"/>
        <w:textAlignment w:val="auto"/>
        <w:rPr>
          <w:rFonts w:hint="eastAsia" w:ascii="仿宋_GB2312" w:hAnsi="仿宋_GB2312" w:eastAsia="仿宋_GB2312" w:cs="仿宋_GB2312"/>
          <w:sz w:val="32"/>
          <w:szCs w:val="32"/>
          <w:lang w:val="en-US" w:eastAsia="zh-CN"/>
        </w:rPr>
        <w:sectPr>
          <w:footerReference r:id="rId6" w:type="default"/>
          <w:pgSz w:w="11905" w:h="16838"/>
          <w:pgMar w:top="1701" w:right="1474" w:bottom="1531" w:left="1587" w:header="0" w:footer="1361" w:gutter="0"/>
          <w:pgNumType w:fmt="decimal"/>
          <w:cols w:space="0" w:num="1"/>
          <w:rtlGutter w:val="0"/>
          <w:docGrid w:linePitch="0" w:charSpace="0"/>
        </w:sectPr>
      </w:pPr>
    </w:p>
    <w:tbl>
      <w:tblPr>
        <w:tblStyle w:val="8"/>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799"/>
        <w:gridCol w:w="3084"/>
        <w:gridCol w:w="490"/>
        <w:gridCol w:w="692"/>
        <w:gridCol w:w="692"/>
        <w:gridCol w:w="692"/>
        <w:gridCol w:w="703"/>
        <w:gridCol w:w="496"/>
        <w:gridCol w:w="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4668" w:type="dxa"/>
            <w:gridSpan w:val="3"/>
            <w:vMerge w:val="restart"/>
            <w:tcBorders>
              <w:bottom w:val="nil"/>
            </w:tcBorders>
            <w:vAlign w:val="center"/>
          </w:tcPr>
          <w:p>
            <w:pPr>
              <w:pStyle w:val="9"/>
              <w:spacing w:before="75" w:line="206" w:lineRule="auto"/>
              <w:ind w:left="185" w:right="259" w:firstLine="109"/>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(本列数据的勾稽关系为：第一项加第</w:t>
            </w:r>
            <w:r>
              <w:rPr>
                <w:rFonts w:hint="eastAsia" w:ascii="方正仿宋_GB2312" w:hAnsi="方正仿宋_GB2312" w:eastAsia="方正仿宋_GB2312" w:cs="方正仿宋_GB2312"/>
                <w:spacing w:val="2"/>
                <w:sz w:val="21"/>
                <w:szCs w:val="21"/>
              </w:rPr>
              <w:t>二项之和，等于第三项加第四项之和)</w:t>
            </w:r>
          </w:p>
        </w:tc>
        <w:tc>
          <w:tcPr>
            <w:tcW w:w="4251" w:type="dxa"/>
            <w:gridSpan w:val="7"/>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4668" w:type="dxa"/>
            <w:gridSpan w:val="3"/>
            <w:vMerge w:val="continue"/>
            <w:tcBorders>
              <w:top w:val="nil"/>
              <w:bottom w:val="nil"/>
            </w:tcBorders>
            <w:vAlign w:val="center"/>
          </w:tcPr>
          <w:p>
            <w:pPr>
              <w:jc w:val="center"/>
              <w:rPr>
                <w:rFonts w:hint="eastAsia" w:ascii="方正仿宋_GB2312" w:hAnsi="方正仿宋_GB2312" w:eastAsia="方正仿宋_GB2312" w:cs="方正仿宋_GB2312"/>
                <w:sz w:val="21"/>
                <w:szCs w:val="21"/>
              </w:rPr>
            </w:pPr>
          </w:p>
        </w:tc>
        <w:tc>
          <w:tcPr>
            <w:tcW w:w="490" w:type="dxa"/>
            <w:vMerge w:val="restart"/>
            <w:tcBorders>
              <w:bottom w:val="nil"/>
            </w:tcBorders>
            <w:textDirection w:val="tbRlV"/>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自然人</w:t>
            </w:r>
          </w:p>
        </w:tc>
        <w:tc>
          <w:tcPr>
            <w:tcW w:w="3275" w:type="dxa"/>
            <w:gridSpan w:val="5"/>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法人或其他组织</w:t>
            </w:r>
          </w:p>
        </w:tc>
        <w:tc>
          <w:tcPr>
            <w:tcW w:w="486" w:type="dxa"/>
            <w:vMerge w:val="restart"/>
            <w:tcBorders>
              <w:bottom w:val="nil"/>
            </w:tcBorders>
            <w:textDirection w:val="tbRlV"/>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4668" w:type="dxa"/>
            <w:gridSpan w:val="3"/>
            <w:vMerge w:val="continue"/>
            <w:tcBorders>
              <w:top w:val="nil"/>
            </w:tcBorders>
            <w:vAlign w:val="center"/>
          </w:tcPr>
          <w:p>
            <w:pPr>
              <w:jc w:val="center"/>
              <w:rPr>
                <w:rFonts w:hint="eastAsia" w:ascii="方正仿宋_GB2312" w:hAnsi="方正仿宋_GB2312" w:eastAsia="方正仿宋_GB2312" w:cs="方正仿宋_GB2312"/>
                <w:sz w:val="21"/>
                <w:szCs w:val="21"/>
              </w:rPr>
            </w:pPr>
          </w:p>
        </w:tc>
        <w:tc>
          <w:tcPr>
            <w:tcW w:w="490" w:type="dxa"/>
            <w:vMerge w:val="continue"/>
            <w:tcBorders>
              <w:top w:val="nil"/>
            </w:tcBorders>
            <w:textDirection w:val="tbRlV"/>
            <w:vAlign w:val="center"/>
          </w:tcPr>
          <w:p>
            <w:pPr>
              <w:jc w:val="center"/>
              <w:rPr>
                <w:rFonts w:hint="eastAsia" w:ascii="方正仿宋_GB2312" w:hAnsi="方正仿宋_GB2312" w:eastAsia="方正仿宋_GB2312" w:cs="方正仿宋_GB2312"/>
                <w:sz w:val="21"/>
                <w:szCs w:val="21"/>
              </w:rPr>
            </w:pPr>
          </w:p>
        </w:tc>
        <w:tc>
          <w:tcPr>
            <w:tcW w:w="692" w:type="dxa"/>
            <w:textDirection w:val="tbRlV"/>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商业企业</w:t>
            </w:r>
          </w:p>
        </w:tc>
        <w:tc>
          <w:tcPr>
            <w:tcW w:w="692" w:type="dxa"/>
            <w:textDirection w:val="tbRlV"/>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科研机构</w:t>
            </w:r>
          </w:p>
        </w:tc>
        <w:tc>
          <w:tcPr>
            <w:tcW w:w="692" w:type="dxa"/>
            <w:textDirection w:val="tbRlV"/>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社会公益组织</w:t>
            </w:r>
          </w:p>
        </w:tc>
        <w:tc>
          <w:tcPr>
            <w:tcW w:w="703" w:type="dxa"/>
            <w:textDirection w:val="tbRlV"/>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法律服务机构</w:t>
            </w:r>
          </w:p>
        </w:tc>
        <w:tc>
          <w:tcPr>
            <w:tcW w:w="496" w:type="dxa"/>
            <w:textDirection w:val="tbRlV"/>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其他</w:t>
            </w:r>
          </w:p>
        </w:tc>
        <w:tc>
          <w:tcPr>
            <w:tcW w:w="486" w:type="dxa"/>
            <w:vMerge w:val="continue"/>
            <w:tcBorders>
              <w:top w:val="nil"/>
            </w:tcBorders>
            <w:textDirection w:val="tbRlV"/>
            <w:vAlign w:val="center"/>
          </w:tcPr>
          <w:p>
            <w:pPr>
              <w:jc w:val="cente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68" w:type="dxa"/>
            <w:gridSpan w:val="3"/>
            <w:vAlign w:val="center"/>
          </w:tcPr>
          <w:p>
            <w:pPr>
              <w:pStyle w:val="9"/>
              <w:spacing w:before="75" w:line="219" w:lineRule="auto"/>
              <w:ind w:left="95"/>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1"/>
                <w:sz w:val="21"/>
                <w:szCs w:val="21"/>
              </w:rPr>
              <w:t>一、本年新收政府信息公开申请数量</w:t>
            </w:r>
          </w:p>
        </w:tc>
        <w:tc>
          <w:tcPr>
            <w:tcW w:w="490" w:type="dxa"/>
            <w:vAlign w:val="center"/>
          </w:tcPr>
          <w:p>
            <w:pPr>
              <w:jc w:val="center"/>
              <w:rPr>
                <w:rFonts w:hint="eastAsia" w:ascii="方正仿宋_GB2312" w:hAnsi="方正仿宋_GB2312" w:eastAsia="方正仿宋_GB2312" w:cs="方正仿宋_GB2312"/>
                <w:sz w:val="21"/>
                <w:szCs w:val="21"/>
              </w:rPr>
            </w:pPr>
          </w:p>
        </w:tc>
        <w:tc>
          <w:tcPr>
            <w:tcW w:w="692" w:type="dxa"/>
            <w:vAlign w:val="center"/>
          </w:tcPr>
          <w:p>
            <w:pPr>
              <w:jc w:val="center"/>
              <w:rPr>
                <w:rFonts w:hint="eastAsia" w:ascii="方正仿宋_GB2312" w:hAnsi="方正仿宋_GB2312" w:eastAsia="方正仿宋_GB2312" w:cs="方正仿宋_GB2312"/>
                <w:sz w:val="21"/>
                <w:szCs w:val="21"/>
              </w:rPr>
            </w:pPr>
          </w:p>
        </w:tc>
        <w:tc>
          <w:tcPr>
            <w:tcW w:w="692" w:type="dxa"/>
            <w:vAlign w:val="center"/>
          </w:tcPr>
          <w:p>
            <w:pPr>
              <w:jc w:val="center"/>
              <w:rPr>
                <w:rFonts w:hint="eastAsia" w:ascii="方正仿宋_GB2312" w:hAnsi="方正仿宋_GB2312" w:eastAsia="方正仿宋_GB2312" w:cs="方正仿宋_GB2312"/>
                <w:sz w:val="21"/>
                <w:szCs w:val="21"/>
              </w:rPr>
            </w:pPr>
          </w:p>
        </w:tc>
        <w:tc>
          <w:tcPr>
            <w:tcW w:w="692" w:type="dxa"/>
            <w:vAlign w:val="center"/>
          </w:tcPr>
          <w:p>
            <w:pPr>
              <w:jc w:val="center"/>
              <w:rPr>
                <w:rFonts w:hint="eastAsia" w:ascii="方正仿宋_GB2312" w:hAnsi="方正仿宋_GB2312" w:eastAsia="方正仿宋_GB2312" w:cs="方正仿宋_GB2312"/>
                <w:sz w:val="21"/>
                <w:szCs w:val="21"/>
              </w:rPr>
            </w:pPr>
          </w:p>
        </w:tc>
        <w:tc>
          <w:tcPr>
            <w:tcW w:w="703" w:type="dxa"/>
            <w:vAlign w:val="center"/>
          </w:tcPr>
          <w:p>
            <w:pPr>
              <w:jc w:val="center"/>
              <w:rPr>
                <w:rFonts w:hint="eastAsia" w:ascii="方正仿宋_GB2312" w:hAnsi="方正仿宋_GB2312" w:eastAsia="方正仿宋_GB2312" w:cs="方正仿宋_GB2312"/>
                <w:sz w:val="21"/>
                <w:szCs w:val="21"/>
              </w:rPr>
            </w:pPr>
          </w:p>
        </w:tc>
        <w:tc>
          <w:tcPr>
            <w:tcW w:w="496" w:type="dxa"/>
            <w:vAlign w:val="center"/>
          </w:tcPr>
          <w:p>
            <w:pPr>
              <w:jc w:val="center"/>
              <w:rPr>
                <w:rFonts w:hint="eastAsia" w:ascii="方正仿宋_GB2312" w:hAnsi="方正仿宋_GB2312" w:eastAsia="方正仿宋_GB2312" w:cs="方正仿宋_GB2312"/>
                <w:sz w:val="21"/>
                <w:szCs w:val="21"/>
              </w:rPr>
            </w:pPr>
          </w:p>
        </w:tc>
        <w:tc>
          <w:tcPr>
            <w:tcW w:w="486" w:type="dxa"/>
            <w:vAlign w:val="center"/>
          </w:tcPr>
          <w:p>
            <w:pPr>
              <w:jc w:val="cente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68" w:type="dxa"/>
            <w:gridSpan w:val="3"/>
            <w:vAlign w:val="center"/>
          </w:tcPr>
          <w:p>
            <w:pPr>
              <w:pStyle w:val="9"/>
              <w:spacing w:before="87" w:line="219" w:lineRule="auto"/>
              <w:ind w:left="95"/>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二、上年结转政府信息公开申请数量</w:t>
            </w:r>
          </w:p>
        </w:tc>
        <w:tc>
          <w:tcPr>
            <w:tcW w:w="490" w:type="dxa"/>
            <w:vAlign w:val="center"/>
          </w:tcPr>
          <w:p>
            <w:pPr>
              <w:jc w:val="center"/>
              <w:rPr>
                <w:rFonts w:hint="eastAsia" w:ascii="方正仿宋_GB2312" w:hAnsi="方正仿宋_GB2312" w:eastAsia="方正仿宋_GB2312" w:cs="方正仿宋_GB2312"/>
                <w:sz w:val="21"/>
                <w:szCs w:val="21"/>
              </w:rPr>
            </w:pPr>
          </w:p>
        </w:tc>
        <w:tc>
          <w:tcPr>
            <w:tcW w:w="692" w:type="dxa"/>
            <w:vAlign w:val="center"/>
          </w:tcPr>
          <w:p>
            <w:pPr>
              <w:jc w:val="center"/>
              <w:rPr>
                <w:rFonts w:hint="eastAsia" w:ascii="方正仿宋_GB2312" w:hAnsi="方正仿宋_GB2312" w:eastAsia="方正仿宋_GB2312" w:cs="方正仿宋_GB2312"/>
                <w:sz w:val="21"/>
                <w:szCs w:val="21"/>
              </w:rPr>
            </w:pPr>
          </w:p>
        </w:tc>
        <w:tc>
          <w:tcPr>
            <w:tcW w:w="692" w:type="dxa"/>
            <w:vAlign w:val="center"/>
          </w:tcPr>
          <w:p>
            <w:pPr>
              <w:jc w:val="center"/>
              <w:rPr>
                <w:rFonts w:hint="eastAsia" w:ascii="方正仿宋_GB2312" w:hAnsi="方正仿宋_GB2312" w:eastAsia="方正仿宋_GB2312" w:cs="方正仿宋_GB2312"/>
                <w:sz w:val="21"/>
                <w:szCs w:val="21"/>
              </w:rPr>
            </w:pPr>
          </w:p>
        </w:tc>
        <w:tc>
          <w:tcPr>
            <w:tcW w:w="692" w:type="dxa"/>
            <w:vAlign w:val="center"/>
          </w:tcPr>
          <w:p>
            <w:pPr>
              <w:jc w:val="center"/>
              <w:rPr>
                <w:rFonts w:hint="eastAsia" w:ascii="方正仿宋_GB2312" w:hAnsi="方正仿宋_GB2312" w:eastAsia="方正仿宋_GB2312" w:cs="方正仿宋_GB2312"/>
                <w:sz w:val="21"/>
                <w:szCs w:val="21"/>
              </w:rPr>
            </w:pPr>
          </w:p>
        </w:tc>
        <w:tc>
          <w:tcPr>
            <w:tcW w:w="703" w:type="dxa"/>
            <w:vAlign w:val="center"/>
          </w:tcPr>
          <w:p>
            <w:pPr>
              <w:jc w:val="center"/>
              <w:rPr>
                <w:rFonts w:hint="eastAsia" w:ascii="方正仿宋_GB2312" w:hAnsi="方正仿宋_GB2312" w:eastAsia="方正仿宋_GB2312" w:cs="方正仿宋_GB2312"/>
                <w:sz w:val="21"/>
                <w:szCs w:val="21"/>
              </w:rPr>
            </w:pPr>
          </w:p>
        </w:tc>
        <w:tc>
          <w:tcPr>
            <w:tcW w:w="496" w:type="dxa"/>
            <w:vAlign w:val="center"/>
          </w:tcPr>
          <w:p>
            <w:pPr>
              <w:jc w:val="center"/>
              <w:rPr>
                <w:rFonts w:hint="eastAsia" w:ascii="方正仿宋_GB2312" w:hAnsi="方正仿宋_GB2312" w:eastAsia="方正仿宋_GB2312" w:cs="方正仿宋_GB2312"/>
                <w:sz w:val="21"/>
                <w:szCs w:val="21"/>
              </w:rPr>
            </w:pPr>
          </w:p>
        </w:tc>
        <w:tc>
          <w:tcPr>
            <w:tcW w:w="486" w:type="dxa"/>
            <w:vAlign w:val="center"/>
          </w:tcPr>
          <w:p>
            <w:pPr>
              <w:jc w:val="cente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restart"/>
            <w:tcBorders>
              <w:bottom w:val="nil"/>
            </w:tcBorders>
            <w:vAlign w:val="center"/>
          </w:tcPr>
          <w:p>
            <w:pPr>
              <w:pStyle w:val="9"/>
              <w:spacing w:before="75" w:line="180" w:lineRule="auto"/>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22"/>
                <w:sz w:val="21"/>
                <w:szCs w:val="21"/>
              </w:rPr>
              <w:t>三、</w:t>
            </w:r>
          </w:p>
          <w:p>
            <w:pPr>
              <w:pStyle w:val="9"/>
              <w:spacing w:line="197" w:lineRule="auto"/>
              <w:ind w:left="105"/>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3"/>
                <w:sz w:val="21"/>
                <w:szCs w:val="21"/>
              </w:rPr>
              <w:t>本年</w:t>
            </w:r>
          </w:p>
          <w:p>
            <w:pPr>
              <w:pStyle w:val="9"/>
              <w:spacing w:line="210" w:lineRule="auto"/>
              <w:ind w:left="105"/>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6"/>
                <w:sz w:val="21"/>
                <w:szCs w:val="21"/>
              </w:rPr>
              <w:t>度办</w:t>
            </w:r>
          </w:p>
          <w:p>
            <w:pPr>
              <w:pStyle w:val="9"/>
              <w:spacing w:line="208" w:lineRule="auto"/>
              <w:ind w:left="105"/>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6"/>
                <w:sz w:val="21"/>
                <w:szCs w:val="21"/>
              </w:rPr>
              <w:t>理结</w:t>
            </w:r>
          </w:p>
          <w:p>
            <w:pPr>
              <w:pStyle w:val="9"/>
              <w:spacing w:line="220" w:lineRule="auto"/>
              <w:ind w:left="225"/>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果</w:t>
            </w:r>
          </w:p>
        </w:tc>
        <w:tc>
          <w:tcPr>
            <w:tcW w:w="3883" w:type="dxa"/>
            <w:gridSpan w:val="2"/>
            <w:vAlign w:val="top"/>
          </w:tcPr>
          <w:p>
            <w:pPr>
              <w:keepNext w:val="0"/>
              <w:keepLines w:val="0"/>
              <w:pageBreakBefore w:val="0"/>
              <w:widowControl/>
              <w:kinsoku w:val="0"/>
              <w:wordWrap/>
              <w:overflowPunct/>
              <w:topLinePunct w:val="0"/>
              <w:autoSpaceDE w:val="0"/>
              <w:autoSpaceDN w:val="0"/>
              <w:bidi w:val="0"/>
              <w:adjustRightInd w:val="0"/>
              <w:snapToGrid w:val="0"/>
              <w:ind w:firstLine="105" w:firstLineChars="50"/>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（一）</w:t>
            </w:r>
            <w:r>
              <w:rPr>
                <w:rFonts w:hint="eastAsia" w:ascii="方正仿宋_GB2312" w:hAnsi="方正仿宋_GB2312" w:eastAsia="方正仿宋_GB2312" w:cs="方正仿宋_GB2312"/>
                <w:sz w:val="21"/>
                <w:szCs w:val="21"/>
              </w:rPr>
              <w:t>予以公开</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3883" w:type="dxa"/>
            <w:gridSpan w:val="2"/>
            <w:vAlign w:val="top"/>
          </w:tcPr>
          <w:p>
            <w:pPr>
              <w:keepNext w:val="0"/>
              <w:keepLines w:val="0"/>
              <w:pageBreakBefore w:val="0"/>
              <w:widowControl/>
              <w:kinsoku w:val="0"/>
              <w:wordWrap/>
              <w:overflowPunct/>
              <w:topLinePunct w:val="0"/>
              <w:autoSpaceDE w:val="0"/>
              <w:autoSpaceDN w:val="0"/>
              <w:bidi w:val="0"/>
              <w:adjustRightInd w:val="0"/>
              <w:snapToGrid w:val="0"/>
              <w:ind w:firstLine="105" w:firstLineChars="50"/>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（二）</w:t>
            </w:r>
            <w:r>
              <w:rPr>
                <w:rFonts w:hint="eastAsia" w:ascii="方正仿宋_GB2312" w:hAnsi="方正仿宋_GB2312" w:eastAsia="方正仿宋_GB2312" w:cs="方正仿宋_GB2312"/>
                <w:sz w:val="21"/>
                <w:szCs w:val="21"/>
              </w:rPr>
              <w:t>部分公开(区分处理的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只计这一情形</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不计其他情形)</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restart"/>
            <w:tcBorders>
              <w:bottom w:val="nil"/>
            </w:tcBorders>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(三)不予公开</w:t>
            </w: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1.属于国家秘密</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2.其他法律行政法规禁止公开</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3.危及“三安全一稳定”</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4.保护第三方合法权益</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5.属于三类内部事务信息</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6.属于四类过程性信息</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7.属于行政执法案卷</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8.属于行政查询事项</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restart"/>
            <w:tcBorders>
              <w:bottom w:val="nil"/>
            </w:tcBorders>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(四)无法提供</w:t>
            </w: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1.本机关不掌握相关政府信息</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2.没有现成信息需要另行制作</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left"/>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3.补正后申请内容仍不明确</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restart"/>
            <w:tcBorders>
              <w:bottom w:val="nil"/>
            </w:tcBorders>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(五)不予处理</w:t>
            </w: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1.信访举报投诉类申请</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2.重复申请</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3.要求提供公开出版物</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4.无正当理由大量反复申请</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tcBorders>
            <w:vAlign w:val="center"/>
          </w:tcPr>
          <w:p>
            <w:pPr>
              <w:jc w:val="cente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5.要求行政机关确认或重新出具已获取信息</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restart"/>
            <w:tcBorders>
              <w:bottom w:val="nil"/>
            </w:tcBorders>
            <w:vAlign w:val="center"/>
          </w:tcPr>
          <w:p>
            <w:p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(六)其他处理</w:t>
            </w: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1.</w:t>
            </w:r>
            <w:r>
              <w:rPr>
                <w:rFonts w:hint="eastAsia" w:ascii="方正仿宋_GB2312" w:hAnsi="方正仿宋_GB2312" w:eastAsia="方正仿宋_GB2312" w:cs="方正仿宋_GB2312"/>
                <w:sz w:val="21"/>
                <w:szCs w:val="21"/>
              </w:rPr>
              <w:t>申请人无正当理由逾期不补正</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行政机关不再处理其政府信息公开申请</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2.申请人逾期未按收费通知要求缴纳费用、行政机关不再处理其政府信息公开申请</w:t>
            </w:r>
          </w:p>
        </w:tc>
        <w:tc>
          <w:tcPr>
            <w:tcW w:w="490"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692" w:type="dxa"/>
            <w:vAlign w:val="top"/>
          </w:tcPr>
          <w:p>
            <w:pPr>
              <w:rPr>
                <w:rFonts w:hint="eastAsia" w:ascii="方正仿宋_GB2312" w:hAnsi="方正仿宋_GB2312" w:eastAsia="方正仿宋_GB2312" w:cs="方正仿宋_GB2312"/>
                <w:sz w:val="21"/>
                <w:szCs w:val="21"/>
              </w:rPr>
            </w:pPr>
          </w:p>
        </w:tc>
        <w:tc>
          <w:tcPr>
            <w:tcW w:w="703" w:type="dxa"/>
            <w:vAlign w:val="top"/>
          </w:tcPr>
          <w:p>
            <w:pPr>
              <w:rPr>
                <w:rFonts w:hint="eastAsia" w:ascii="方正仿宋_GB2312" w:hAnsi="方正仿宋_GB2312" w:eastAsia="方正仿宋_GB2312" w:cs="方正仿宋_GB2312"/>
                <w:sz w:val="21"/>
                <w:szCs w:val="21"/>
              </w:rPr>
            </w:pPr>
          </w:p>
        </w:tc>
        <w:tc>
          <w:tcPr>
            <w:tcW w:w="496" w:type="dxa"/>
            <w:vAlign w:val="top"/>
          </w:tcPr>
          <w:p>
            <w:pPr>
              <w:rPr>
                <w:rFonts w:hint="eastAsia" w:ascii="方正仿宋_GB2312" w:hAnsi="方正仿宋_GB2312" w:eastAsia="方正仿宋_GB2312" w:cs="方正仿宋_GB2312"/>
                <w:sz w:val="21"/>
                <w:szCs w:val="21"/>
              </w:rPr>
            </w:pPr>
          </w:p>
        </w:tc>
        <w:tc>
          <w:tcPr>
            <w:tcW w:w="486" w:type="dxa"/>
            <w:vAlign w:val="top"/>
          </w:tcPr>
          <w:p>
            <w:pPr>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bottom w:val="nil"/>
            </w:tcBorders>
            <w:vAlign w:val="top"/>
          </w:tcPr>
          <w:p>
            <w:pPr>
              <w:rPr>
                <w:rFonts w:hint="eastAsia" w:ascii="方正仿宋_GB2312" w:hAnsi="方正仿宋_GB2312" w:eastAsia="方正仿宋_GB2312" w:cs="方正仿宋_GB2312"/>
                <w:sz w:val="21"/>
                <w:szCs w:val="21"/>
              </w:rPr>
            </w:pPr>
          </w:p>
        </w:tc>
        <w:tc>
          <w:tcPr>
            <w:tcW w:w="799" w:type="dxa"/>
            <w:vMerge w:val="continue"/>
            <w:tcBorders>
              <w:top w:val="nil"/>
            </w:tcBorders>
            <w:vAlign w:val="top"/>
          </w:tcPr>
          <w:p>
            <w:pPr>
              <w:rPr>
                <w:rFonts w:hint="eastAsia" w:ascii="方正仿宋_GB2312" w:hAnsi="方正仿宋_GB2312" w:eastAsia="方正仿宋_GB2312" w:cs="方正仿宋_GB2312"/>
                <w:sz w:val="21"/>
                <w:szCs w:val="21"/>
              </w:rPr>
            </w:pPr>
          </w:p>
        </w:tc>
        <w:tc>
          <w:tcPr>
            <w:tcW w:w="3084" w:type="dxa"/>
            <w:vAlign w:val="center"/>
          </w:tcPr>
          <w:p>
            <w:pPr>
              <w:keepNext w:val="0"/>
              <w:keepLines w:val="0"/>
              <w:pageBreakBefore w:val="0"/>
              <w:widowControl/>
              <w:kinsoku w:val="0"/>
              <w:wordWrap/>
              <w:overflowPunct/>
              <w:topLinePunct w:val="0"/>
              <w:autoSpaceDE w:val="0"/>
              <w:autoSpaceDN w:val="0"/>
              <w:bidi w:val="0"/>
              <w:adjustRightInd w:val="0"/>
              <w:snapToGrid w:val="0"/>
              <w:ind w:firstLine="105" w:firstLineChars="50"/>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3.其他</w:t>
            </w:r>
          </w:p>
        </w:tc>
        <w:tc>
          <w:tcPr>
            <w:tcW w:w="490" w:type="dxa"/>
            <w:vAlign w:val="center"/>
          </w:tcPr>
          <w:p>
            <w:pPr>
              <w:jc w:val="both"/>
              <w:rPr>
                <w:rFonts w:hint="eastAsia" w:ascii="方正仿宋_GB2312" w:hAnsi="方正仿宋_GB2312" w:eastAsia="方正仿宋_GB2312" w:cs="方正仿宋_GB2312"/>
                <w:sz w:val="21"/>
                <w:szCs w:val="21"/>
              </w:rPr>
            </w:pPr>
          </w:p>
        </w:tc>
        <w:tc>
          <w:tcPr>
            <w:tcW w:w="692" w:type="dxa"/>
            <w:vAlign w:val="center"/>
          </w:tcPr>
          <w:p>
            <w:pPr>
              <w:jc w:val="both"/>
              <w:rPr>
                <w:rFonts w:hint="eastAsia" w:ascii="方正仿宋_GB2312" w:hAnsi="方正仿宋_GB2312" w:eastAsia="方正仿宋_GB2312" w:cs="方正仿宋_GB2312"/>
                <w:sz w:val="21"/>
                <w:szCs w:val="21"/>
              </w:rPr>
            </w:pPr>
          </w:p>
        </w:tc>
        <w:tc>
          <w:tcPr>
            <w:tcW w:w="692" w:type="dxa"/>
            <w:vAlign w:val="center"/>
          </w:tcPr>
          <w:p>
            <w:pPr>
              <w:jc w:val="both"/>
              <w:rPr>
                <w:rFonts w:hint="eastAsia" w:ascii="方正仿宋_GB2312" w:hAnsi="方正仿宋_GB2312" w:eastAsia="方正仿宋_GB2312" w:cs="方正仿宋_GB2312"/>
                <w:sz w:val="21"/>
                <w:szCs w:val="21"/>
              </w:rPr>
            </w:pPr>
          </w:p>
        </w:tc>
        <w:tc>
          <w:tcPr>
            <w:tcW w:w="692" w:type="dxa"/>
            <w:vAlign w:val="center"/>
          </w:tcPr>
          <w:p>
            <w:pPr>
              <w:jc w:val="both"/>
              <w:rPr>
                <w:rFonts w:hint="eastAsia" w:ascii="方正仿宋_GB2312" w:hAnsi="方正仿宋_GB2312" w:eastAsia="方正仿宋_GB2312" w:cs="方正仿宋_GB2312"/>
                <w:sz w:val="21"/>
                <w:szCs w:val="21"/>
              </w:rPr>
            </w:pPr>
          </w:p>
        </w:tc>
        <w:tc>
          <w:tcPr>
            <w:tcW w:w="703" w:type="dxa"/>
            <w:vAlign w:val="center"/>
          </w:tcPr>
          <w:p>
            <w:pPr>
              <w:jc w:val="both"/>
              <w:rPr>
                <w:rFonts w:hint="eastAsia" w:ascii="方正仿宋_GB2312" w:hAnsi="方正仿宋_GB2312" w:eastAsia="方正仿宋_GB2312" w:cs="方正仿宋_GB2312"/>
                <w:sz w:val="21"/>
                <w:szCs w:val="21"/>
              </w:rPr>
            </w:pPr>
          </w:p>
        </w:tc>
        <w:tc>
          <w:tcPr>
            <w:tcW w:w="496" w:type="dxa"/>
            <w:vAlign w:val="center"/>
          </w:tcPr>
          <w:p>
            <w:pPr>
              <w:jc w:val="both"/>
              <w:rPr>
                <w:rFonts w:hint="eastAsia" w:ascii="方正仿宋_GB2312" w:hAnsi="方正仿宋_GB2312" w:eastAsia="方正仿宋_GB2312" w:cs="方正仿宋_GB2312"/>
                <w:sz w:val="21"/>
                <w:szCs w:val="21"/>
              </w:rPr>
            </w:pPr>
          </w:p>
        </w:tc>
        <w:tc>
          <w:tcPr>
            <w:tcW w:w="486" w:type="dxa"/>
            <w:vAlign w:val="center"/>
          </w:tcPr>
          <w:p>
            <w:pPr>
              <w:jc w:val="both"/>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5" w:type="dxa"/>
            <w:vMerge w:val="continue"/>
            <w:tcBorders>
              <w:top w:val="nil"/>
            </w:tcBorders>
            <w:vAlign w:val="top"/>
          </w:tcPr>
          <w:p>
            <w:pPr>
              <w:jc w:val="center"/>
              <w:rPr>
                <w:rFonts w:hint="eastAsia" w:ascii="方正仿宋_GB2312" w:hAnsi="方正仿宋_GB2312" w:eastAsia="方正仿宋_GB2312" w:cs="方正仿宋_GB2312"/>
                <w:sz w:val="21"/>
                <w:szCs w:val="21"/>
              </w:rPr>
            </w:pPr>
          </w:p>
        </w:tc>
        <w:tc>
          <w:tcPr>
            <w:tcW w:w="3883" w:type="dxa"/>
            <w:gridSpan w:val="2"/>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(七)总计</w:t>
            </w:r>
          </w:p>
        </w:tc>
        <w:tc>
          <w:tcPr>
            <w:tcW w:w="490" w:type="dxa"/>
            <w:vAlign w:val="center"/>
          </w:tcPr>
          <w:p>
            <w:pPr>
              <w:jc w:val="both"/>
              <w:rPr>
                <w:rFonts w:hint="eastAsia" w:ascii="方正仿宋_GB2312" w:hAnsi="方正仿宋_GB2312" w:eastAsia="方正仿宋_GB2312" w:cs="方正仿宋_GB2312"/>
                <w:sz w:val="21"/>
                <w:szCs w:val="21"/>
              </w:rPr>
            </w:pPr>
          </w:p>
        </w:tc>
        <w:tc>
          <w:tcPr>
            <w:tcW w:w="692" w:type="dxa"/>
            <w:vAlign w:val="center"/>
          </w:tcPr>
          <w:p>
            <w:pPr>
              <w:jc w:val="both"/>
              <w:rPr>
                <w:rFonts w:hint="eastAsia" w:ascii="方正仿宋_GB2312" w:hAnsi="方正仿宋_GB2312" w:eastAsia="方正仿宋_GB2312" w:cs="方正仿宋_GB2312"/>
                <w:sz w:val="21"/>
                <w:szCs w:val="21"/>
              </w:rPr>
            </w:pPr>
          </w:p>
        </w:tc>
        <w:tc>
          <w:tcPr>
            <w:tcW w:w="692" w:type="dxa"/>
            <w:vAlign w:val="center"/>
          </w:tcPr>
          <w:p>
            <w:pPr>
              <w:jc w:val="both"/>
              <w:rPr>
                <w:rFonts w:hint="eastAsia" w:ascii="方正仿宋_GB2312" w:hAnsi="方正仿宋_GB2312" w:eastAsia="方正仿宋_GB2312" w:cs="方正仿宋_GB2312"/>
                <w:sz w:val="21"/>
                <w:szCs w:val="21"/>
              </w:rPr>
            </w:pPr>
          </w:p>
        </w:tc>
        <w:tc>
          <w:tcPr>
            <w:tcW w:w="692" w:type="dxa"/>
            <w:vAlign w:val="center"/>
          </w:tcPr>
          <w:p>
            <w:pPr>
              <w:jc w:val="both"/>
              <w:rPr>
                <w:rFonts w:hint="eastAsia" w:ascii="方正仿宋_GB2312" w:hAnsi="方正仿宋_GB2312" w:eastAsia="方正仿宋_GB2312" w:cs="方正仿宋_GB2312"/>
                <w:sz w:val="21"/>
                <w:szCs w:val="21"/>
              </w:rPr>
            </w:pPr>
          </w:p>
        </w:tc>
        <w:tc>
          <w:tcPr>
            <w:tcW w:w="703" w:type="dxa"/>
            <w:vAlign w:val="center"/>
          </w:tcPr>
          <w:p>
            <w:pPr>
              <w:jc w:val="both"/>
              <w:rPr>
                <w:rFonts w:hint="eastAsia" w:ascii="方正仿宋_GB2312" w:hAnsi="方正仿宋_GB2312" w:eastAsia="方正仿宋_GB2312" w:cs="方正仿宋_GB2312"/>
                <w:sz w:val="21"/>
                <w:szCs w:val="21"/>
              </w:rPr>
            </w:pPr>
          </w:p>
        </w:tc>
        <w:tc>
          <w:tcPr>
            <w:tcW w:w="496" w:type="dxa"/>
            <w:vAlign w:val="center"/>
          </w:tcPr>
          <w:p>
            <w:pPr>
              <w:jc w:val="both"/>
              <w:rPr>
                <w:rFonts w:hint="eastAsia" w:ascii="方正仿宋_GB2312" w:hAnsi="方正仿宋_GB2312" w:eastAsia="方正仿宋_GB2312" w:cs="方正仿宋_GB2312"/>
                <w:sz w:val="21"/>
                <w:szCs w:val="21"/>
              </w:rPr>
            </w:pPr>
          </w:p>
        </w:tc>
        <w:tc>
          <w:tcPr>
            <w:tcW w:w="486" w:type="dxa"/>
            <w:vAlign w:val="center"/>
          </w:tcPr>
          <w:p>
            <w:pPr>
              <w:jc w:val="both"/>
              <w:rPr>
                <w:rFonts w:hint="eastAsia" w:ascii="方正仿宋_GB2312" w:hAnsi="方正仿宋_GB2312" w:eastAsia="方正仿宋_GB2312" w:cs="方正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68" w:type="dxa"/>
            <w:gridSpan w:val="3"/>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四、结转下年度继续办理</w:t>
            </w:r>
          </w:p>
        </w:tc>
        <w:tc>
          <w:tcPr>
            <w:tcW w:w="490" w:type="dxa"/>
            <w:vAlign w:val="center"/>
          </w:tcPr>
          <w:p>
            <w:pPr>
              <w:jc w:val="both"/>
              <w:rPr>
                <w:rFonts w:hint="eastAsia" w:ascii="方正仿宋_GB2312" w:hAnsi="方正仿宋_GB2312" w:eastAsia="方正仿宋_GB2312" w:cs="方正仿宋_GB2312"/>
                <w:sz w:val="21"/>
                <w:szCs w:val="21"/>
              </w:rPr>
            </w:pPr>
          </w:p>
        </w:tc>
        <w:tc>
          <w:tcPr>
            <w:tcW w:w="692" w:type="dxa"/>
            <w:vAlign w:val="center"/>
          </w:tcPr>
          <w:p>
            <w:pPr>
              <w:jc w:val="both"/>
              <w:rPr>
                <w:rFonts w:hint="eastAsia" w:ascii="方正仿宋_GB2312" w:hAnsi="方正仿宋_GB2312" w:eastAsia="方正仿宋_GB2312" w:cs="方正仿宋_GB2312"/>
                <w:sz w:val="21"/>
                <w:szCs w:val="21"/>
              </w:rPr>
            </w:pPr>
          </w:p>
        </w:tc>
        <w:tc>
          <w:tcPr>
            <w:tcW w:w="692" w:type="dxa"/>
            <w:vAlign w:val="center"/>
          </w:tcPr>
          <w:p>
            <w:pPr>
              <w:jc w:val="both"/>
              <w:rPr>
                <w:rFonts w:hint="eastAsia" w:ascii="方正仿宋_GB2312" w:hAnsi="方正仿宋_GB2312" w:eastAsia="方正仿宋_GB2312" w:cs="方正仿宋_GB2312"/>
                <w:sz w:val="21"/>
                <w:szCs w:val="21"/>
              </w:rPr>
            </w:pPr>
          </w:p>
        </w:tc>
        <w:tc>
          <w:tcPr>
            <w:tcW w:w="692" w:type="dxa"/>
            <w:vAlign w:val="center"/>
          </w:tcPr>
          <w:p>
            <w:pPr>
              <w:jc w:val="both"/>
              <w:rPr>
                <w:rFonts w:hint="eastAsia" w:ascii="方正仿宋_GB2312" w:hAnsi="方正仿宋_GB2312" w:eastAsia="方正仿宋_GB2312" w:cs="方正仿宋_GB2312"/>
                <w:sz w:val="21"/>
                <w:szCs w:val="21"/>
              </w:rPr>
            </w:pPr>
          </w:p>
        </w:tc>
        <w:tc>
          <w:tcPr>
            <w:tcW w:w="703" w:type="dxa"/>
            <w:vAlign w:val="center"/>
          </w:tcPr>
          <w:p>
            <w:pPr>
              <w:jc w:val="both"/>
              <w:rPr>
                <w:rFonts w:hint="eastAsia" w:ascii="方正仿宋_GB2312" w:hAnsi="方正仿宋_GB2312" w:eastAsia="方正仿宋_GB2312" w:cs="方正仿宋_GB2312"/>
                <w:sz w:val="21"/>
                <w:szCs w:val="21"/>
              </w:rPr>
            </w:pPr>
          </w:p>
        </w:tc>
        <w:tc>
          <w:tcPr>
            <w:tcW w:w="496" w:type="dxa"/>
            <w:vAlign w:val="center"/>
          </w:tcPr>
          <w:p>
            <w:pPr>
              <w:jc w:val="both"/>
              <w:rPr>
                <w:rFonts w:hint="eastAsia" w:ascii="方正仿宋_GB2312" w:hAnsi="方正仿宋_GB2312" w:eastAsia="方正仿宋_GB2312" w:cs="方正仿宋_GB2312"/>
                <w:sz w:val="21"/>
                <w:szCs w:val="21"/>
              </w:rPr>
            </w:pPr>
          </w:p>
        </w:tc>
        <w:tc>
          <w:tcPr>
            <w:tcW w:w="486" w:type="dxa"/>
            <w:vAlign w:val="center"/>
          </w:tcPr>
          <w:p>
            <w:pPr>
              <w:jc w:val="both"/>
              <w:rPr>
                <w:rFonts w:hint="eastAsia" w:ascii="方正仿宋_GB2312" w:hAnsi="方正仿宋_GB2312" w:eastAsia="方正仿宋_GB2312" w:cs="方正仿宋_GB2312"/>
                <w:sz w:val="21"/>
                <w:szCs w:val="21"/>
              </w:rPr>
            </w:pPr>
          </w:p>
        </w:tc>
      </w:tr>
    </w:tbl>
    <w:p>
      <w:pPr>
        <w:rPr>
          <w:rFonts w:ascii="Arial"/>
          <w:sz w:val="21"/>
        </w:rPr>
      </w:pPr>
    </w:p>
    <w:p>
      <w:pPr>
        <w:sectPr>
          <w:pgSz w:w="11905" w:h="16838"/>
          <w:pgMar w:top="1701" w:right="1474" w:bottom="1531" w:left="1587" w:header="0" w:footer="1071"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60" w:lineRule="exact"/>
        <w:ind w:left="929"/>
        <w:textAlignment w:val="auto"/>
        <w:rPr>
          <w:rFonts w:ascii="楷体" w:hAnsi="楷体" w:eastAsia="楷体" w:cs="楷体"/>
          <w:sz w:val="32"/>
          <w:szCs w:val="32"/>
        </w:rPr>
      </w:pPr>
      <w:r>
        <w:rPr>
          <w:rFonts w:ascii="楷体" w:hAnsi="楷体" w:eastAsia="楷体" w:cs="楷体"/>
          <w:b/>
          <w:bCs/>
          <w:spacing w:val="19"/>
          <w:sz w:val="32"/>
          <w:szCs w:val="32"/>
        </w:rPr>
        <w:t>(一)填表说明</w:t>
      </w:r>
    </w:p>
    <w:p>
      <w:pPr>
        <w:keepNext w:val="0"/>
        <w:keepLines w:val="0"/>
        <w:pageBreakBefore w:val="0"/>
        <w:widowControl w:val="0"/>
        <w:kinsoku/>
        <w:wordWrap/>
        <w:overflowPunct/>
        <w:topLinePunct w:val="0"/>
        <w:autoSpaceDE/>
        <w:autoSpaceDN/>
        <w:bidi w:val="0"/>
        <w:adjustRightInd/>
        <w:snapToGrid/>
        <w:spacing w:line="560" w:lineRule="exact"/>
        <w:ind w:left="639"/>
        <w:textAlignment w:val="auto"/>
        <w:outlineLvl w:val="0"/>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rPr>
        <w:t>本年新收政府信息公开申请数量</w:t>
      </w:r>
    </w:p>
    <w:p>
      <w:pPr>
        <w:keepNext w:val="0"/>
        <w:keepLines w:val="0"/>
        <w:pageBreakBefore w:val="0"/>
        <w:widowControl w:val="0"/>
        <w:kinsoku/>
        <w:wordWrap/>
        <w:overflowPunct/>
        <w:topLinePunct w:val="0"/>
        <w:autoSpaceDE/>
        <w:autoSpaceDN/>
        <w:bidi w:val="0"/>
        <w:adjustRightInd/>
        <w:snapToGrid/>
        <w:spacing w:line="560" w:lineRule="exact"/>
        <w:ind w:left="24" w:right="226" w:firstLine="61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填报本年度本机关接收到的政府信息公开申请数量(注：本</w:t>
      </w:r>
      <w:r>
        <w:rPr>
          <w:rFonts w:hint="eastAsia" w:ascii="仿宋_GB2312" w:hAnsi="仿宋_GB2312" w:eastAsia="仿宋_GB2312" w:cs="仿宋_GB2312"/>
          <w:spacing w:val="4"/>
          <w:sz w:val="32"/>
          <w:szCs w:val="32"/>
        </w:rPr>
        <w:t>机关收到的申请，是指申请人向本机关提交并以本机关名义作出答复的申请。部门代政府起草答复文书的，不纳入部门的统计范</w:t>
      </w:r>
      <w:r>
        <w:rPr>
          <w:rFonts w:hint="eastAsia" w:ascii="仿宋_GB2312" w:hAnsi="仿宋_GB2312" w:eastAsia="仿宋_GB2312" w:cs="仿宋_GB2312"/>
          <w:spacing w:val="-18"/>
          <w:sz w:val="32"/>
          <w:szCs w:val="32"/>
        </w:rPr>
        <w:t>围)。</w:t>
      </w:r>
    </w:p>
    <w:p>
      <w:pPr>
        <w:keepNext w:val="0"/>
        <w:keepLines w:val="0"/>
        <w:pageBreakBefore w:val="0"/>
        <w:widowControl w:val="0"/>
        <w:kinsoku/>
        <w:wordWrap/>
        <w:overflowPunct/>
        <w:topLinePunct w:val="0"/>
        <w:autoSpaceDE/>
        <w:autoSpaceDN/>
        <w:bidi w:val="0"/>
        <w:adjustRightInd/>
        <w:snapToGrid/>
        <w:spacing w:line="560" w:lineRule="exact"/>
        <w:ind w:left="639"/>
        <w:textAlignment w:val="auto"/>
        <w:outlineLvl w:val="0"/>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2</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rPr>
        <w:t>上年结转政府信息公开申请数量</w:t>
      </w:r>
    </w:p>
    <w:p>
      <w:pPr>
        <w:keepNext w:val="0"/>
        <w:keepLines w:val="0"/>
        <w:pageBreakBefore w:val="0"/>
        <w:widowControl w:val="0"/>
        <w:kinsoku/>
        <w:wordWrap/>
        <w:overflowPunct/>
        <w:topLinePunct w:val="0"/>
        <w:autoSpaceDE/>
        <w:autoSpaceDN/>
        <w:bidi w:val="0"/>
        <w:adjustRightInd/>
        <w:snapToGrid/>
        <w:spacing w:line="560" w:lineRule="exact"/>
        <w:ind w:left="24" w:right="226" w:firstLine="61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填报本机关上一年度接收，本年度作出答复的政府信息公开申请数量(注：不包括行政复议或者行政诉讼被纠错后，重新作出答复的情形)。</w:t>
      </w:r>
    </w:p>
    <w:p>
      <w:pPr>
        <w:keepNext w:val="0"/>
        <w:keepLines w:val="0"/>
        <w:pageBreakBefore w:val="0"/>
        <w:widowControl w:val="0"/>
        <w:kinsoku/>
        <w:wordWrap/>
        <w:overflowPunct/>
        <w:topLinePunct w:val="0"/>
        <w:autoSpaceDE/>
        <w:autoSpaceDN/>
        <w:bidi w:val="0"/>
        <w:adjustRightInd/>
        <w:snapToGrid/>
        <w:spacing w:line="560" w:lineRule="exact"/>
        <w:ind w:left="639"/>
        <w:textAlignment w:val="auto"/>
        <w:outlineLvl w:val="0"/>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3</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rPr>
        <w:t>本年度办理结果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分类填报本年度办理政府信息公开申请的情况</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注：本年度办理的申请，包括本年度收到的申请和上年度结转的申请</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9"/>
        <w:textAlignment w:val="auto"/>
        <w:outlineLvl w:val="0"/>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4</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rPr>
        <w:t>结转下年度继续办理</w:t>
      </w:r>
    </w:p>
    <w:p>
      <w:pPr>
        <w:keepNext w:val="0"/>
        <w:keepLines w:val="0"/>
        <w:pageBreakBefore w:val="0"/>
        <w:widowControl w:val="0"/>
        <w:kinsoku/>
        <w:wordWrap/>
        <w:overflowPunct/>
        <w:topLinePunct w:val="0"/>
        <w:autoSpaceDE/>
        <w:autoSpaceDN/>
        <w:bidi w:val="0"/>
        <w:adjustRightInd/>
        <w:snapToGrid/>
        <w:spacing w:line="560" w:lineRule="exact"/>
        <w:ind w:left="23" w:right="227" w:firstLine="612"/>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填报本机关本年度接收，下一年度作出答复的政府信息公开申请数量(注：答复期限为本年度的，不能结转至下年度办理)。</w:t>
      </w:r>
    </w:p>
    <w:p>
      <w:pPr>
        <w:keepNext w:val="0"/>
        <w:keepLines w:val="0"/>
        <w:pageBreakBefore w:val="0"/>
        <w:widowControl w:val="0"/>
        <w:kinsoku/>
        <w:wordWrap/>
        <w:overflowPunct/>
        <w:topLinePunct w:val="0"/>
        <w:autoSpaceDE/>
        <w:autoSpaceDN/>
        <w:bidi w:val="0"/>
        <w:adjustRightInd/>
        <w:snapToGrid/>
        <w:spacing w:line="560" w:lineRule="exact"/>
        <w:ind w:left="839"/>
        <w:textAlignment w:val="auto"/>
        <w:rPr>
          <w:rFonts w:ascii="楷体" w:hAnsi="楷体" w:eastAsia="楷体" w:cs="楷体"/>
          <w:sz w:val="32"/>
          <w:szCs w:val="32"/>
        </w:rPr>
      </w:pPr>
      <w:r>
        <w:rPr>
          <w:rFonts w:ascii="楷体" w:hAnsi="楷体" w:eastAsia="楷体" w:cs="楷体"/>
          <w:b/>
          <w:bCs/>
          <w:spacing w:val="25"/>
          <w:sz w:val="32"/>
          <w:szCs w:val="32"/>
        </w:rPr>
        <w:t>(二)注意事项</w:t>
      </w:r>
    </w:p>
    <w:p>
      <w:pPr>
        <w:keepNext w:val="0"/>
        <w:keepLines w:val="0"/>
        <w:pageBreakBefore w:val="0"/>
        <w:widowControl w:val="0"/>
        <w:kinsoku/>
        <w:wordWrap/>
        <w:overflowPunct/>
        <w:topLinePunct w:val="0"/>
        <w:autoSpaceDE/>
        <w:autoSpaceDN/>
        <w:bidi w:val="0"/>
        <w:adjustRightInd/>
        <w:snapToGrid/>
        <w:spacing w:line="560" w:lineRule="exact"/>
        <w:ind w:left="24" w:right="226" w:firstLine="61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本表只填报数字，不得填入其他内容；没有数据的，填“0”,不得空白。</w:t>
      </w:r>
    </w:p>
    <w:p>
      <w:pPr>
        <w:keepNext w:val="0"/>
        <w:keepLines w:val="0"/>
        <w:pageBreakBefore w:val="0"/>
        <w:widowControl w:val="0"/>
        <w:kinsoku/>
        <w:wordWrap/>
        <w:overflowPunct/>
        <w:topLinePunct w:val="0"/>
        <w:autoSpaceDE/>
        <w:autoSpaceDN/>
        <w:bidi w:val="0"/>
        <w:adjustRightInd/>
        <w:snapToGrid/>
        <w:spacing w:line="560" w:lineRule="exact"/>
        <w:ind w:left="24" w:right="226" w:firstLine="61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要全面落实政府信息依申请公开登记制度，注意对申请人类别、办理结果类型等进行详细登记，以便准确填报信息公开年报。</w:t>
      </w:r>
    </w:p>
    <w:p>
      <w:pPr>
        <w:keepNext w:val="0"/>
        <w:keepLines w:val="0"/>
        <w:pageBreakBefore w:val="0"/>
        <w:widowControl w:val="0"/>
        <w:kinsoku/>
        <w:wordWrap/>
        <w:overflowPunct/>
        <w:topLinePunct w:val="0"/>
        <w:autoSpaceDE/>
        <w:autoSpaceDN/>
        <w:bidi w:val="0"/>
        <w:adjustRightInd/>
        <w:snapToGrid/>
        <w:spacing w:line="560" w:lineRule="exact"/>
        <w:ind w:right="226"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要特别注意各行、各列数据之间的勾稽关系，确保横向各行、纵向各列数据逻辑关系正确。</w:t>
      </w:r>
    </w:p>
    <w:p>
      <w:pPr>
        <w:keepNext w:val="0"/>
        <w:keepLines w:val="0"/>
        <w:pageBreakBefore w:val="0"/>
        <w:widowControl w:val="0"/>
        <w:kinsoku/>
        <w:wordWrap/>
        <w:overflowPunct/>
        <w:topLinePunct w:val="0"/>
        <w:autoSpaceDE/>
        <w:autoSpaceDN/>
        <w:bidi w:val="0"/>
        <w:adjustRightInd/>
        <w:snapToGrid/>
        <w:spacing w:line="560" w:lineRule="exact"/>
        <w:ind w:right="226"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“本机关不掌握相关政府信息”,这一指标涵盖两种情况，既包括依据政府信息公开条例第三十六条(四)做出的处理决定，又包括依据第三十六条(五)做出的处理决定。</w:t>
      </w:r>
    </w:p>
    <w:p>
      <w:pPr>
        <w:keepNext w:val="0"/>
        <w:keepLines w:val="0"/>
        <w:pageBreakBefore w:val="0"/>
        <w:widowControl w:val="0"/>
        <w:kinsoku/>
        <w:wordWrap/>
        <w:overflowPunct/>
        <w:topLinePunct w:val="0"/>
        <w:autoSpaceDE/>
        <w:autoSpaceDN/>
        <w:bidi w:val="0"/>
        <w:adjustRightInd/>
        <w:snapToGrid/>
        <w:spacing w:line="560" w:lineRule="exact"/>
        <w:ind w:right="226"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5</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本年度办理结果”中的“其他处理”主要是基于技术考虑，只在极少数特殊情况下使用。原则上，所有的政府信息公开申请，都应当按照5种法定的处理方式(注：1.予以公开，2.部分公开，3.不予公开，4.无法提供，5.不予处理)做出处理。</w:t>
      </w:r>
    </w:p>
    <w:p>
      <w:pPr>
        <w:keepNext w:val="0"/>
        <w:keepLines w:val="0"/>
        <w:pageBreakBefore w:val="0"/>
        <w:widowControl w:val="0"/>
        <w:kinsoku/>
        <w:wordWrap/>
        <w:overflowPunct/>
        <w:topLinePunct w:val="0"/>
        <w:autoSpaceDE/>
        <w:autoSpaceDN/>
        <w:bidi w:val="0"/>
        <w:adjustRightInd/>
        <w:snapToGrid/>
        <w:spacing w:line="560" w:lineRule="exact"/>
        <w:ind w:right="226" w:firstLine="684" w:firstLineChars="200"/>
        <w:jc w:val="both"/>
        <w:textAlignment w:val="auto"/>
        <w:rPr>
          <w:rFonts w:ascii="宋体" w:hAnsi="宋体" w:eastAsia="宋体" w:cs="宋体"/>
          <w:sz w:val="32"/>
          <w:szCs w:val="32"/>
        </w:rPr>
      </w:pPr>
      <w:r>
        <w:rPr>
          <w:rFonts w:hint="eastAsia" w:ascii="仿宋_GB2312" w:hAnsi="仿宋_GB2312" w:eastAsia="仿宋_GB2312" w:cs="仿宋_GB2312"/>
          <w:spacing w:val="11"/>
          <w:sz w:val="32"/>
          <w:szCs w:val="32"/>
        </w:rPr>
        <w:t>6</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地(州、市)政府信息公开年报中本表相关数据，应对所属部门和县级政府信息公开年报的相关数据进行加总。</w:t>
      </w:r>
    </w:p>
    <w:p>
      <w:pPr>
        <w:keepNext w:val="0"/>
        <w:keepLines w:val="0"/>
        <w:pageBreakBefore w:val="0"/>
        <w:widowControl w:val="0"/>
        <w:kinsoku/>
        <w:wordWrap/>
        <w:overflowPunct/>
        <w:topLinePunct w:val="0"/>
        <w:autoSpaceDE/>
        <w:autoSpaceDN/>
        <w:bidi w:val="0"/>
        <w:adjustRightInd/>
        <w:snapToGrid/>
        <w:spacing w:line="560" w:lineRule="exact"/>
        <w:ind w:left="909"/>
        <w:textAlignment w:val="auto"/>
        <w:outlineLvl w:val="0"/>
        <w:rPr>
          <w:rFonts w:ascii="黑体" w:hAnsi="黑体" w:eastAsia="黑体" w:cs="黑体"/>
          <w:b w:val="0"/>
          <w:bCs w:val="0"/>
          <w:sz w:val="32"/>
          <w:szCs w:val="32"/>
        </w:rPr>
      </w:pPr>
      <w:r>
        <w:rPr>
          <w:rFonts w:ascii="黑体" w:hAnsi="黑体" w:eastAsia="黑体" w:cs="黑体"/>
          <w:b w:val="0"/>
          <w:bCs w:val="0"/>
          <w:sz w:val="32"/>
          <w:szCs w:val="32"/>
        </w:rPr>
        <w:t>四、政府信息公开行政复议、行政诉讼情况</w:t>
      </w:r>
    </w:p>
    <w:p>
      <w:pPr>
        <w:keepNext w:val="0"/>
        <w:keepLines w:val="0"/>
        <w:pageBreakBefore w:val="0"/>
        <w:widowControl w:val="0"/>
        <w:kinsoku/>
        <w:wordWrap/>
        <w:overflowPunct/>
        <w:topLinePunct w:val="0"/>
        <w:autoSpaceDE/>
        <w:autoSpaceDN/>
        <w:bidi w:val="0"/>
        <w:adjustRightInd/>
        <w:snapToGrid/>
        <w:spacing w:line="560" w:lineRule="exact"/>
        <w:ind w:left="905"/>
        <w:textAlignment w:val="auto"/>
        <w:rPr>
          <w:rFonts w:ascii="Arial"/>
          <w:sz w:val="32"/>
          <w:szCs w:val="32"/>
        </w:rPr>
      </w:pPr>
      <w:r>
        <w:rPr>
          <w:rFonts w:hint="eastAsia" w:ascii="方正仿宋_GB2312" w:hAnsi="方正仿宋_GB2312" w:eastAsia="方正仿宋_GB2312" w:cs="方正仿宋_GB2312"/>
          <w:spacing w:val="5"/>
          <w:sz w:val="32"/>
          <w:szCs w:val="32"/>
        </w:rPr>
        <w:t>该部分以表格形式报告。表格如下：</w:t>
      </w:r>
    </w:p>
    <w:tbl>
      <w:tblPr>
        <w:tblStyle w:val="8"/>
        <w:tblW w:w="8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565"/>
        <w:gridCol w:w="565"/>
        <w:gridCol w:w="565"/>
        <w:gridCol w:w="565"/>
        <w:gridCol w:w="565"/>
        <w:gridCol w:w="565"/>
        <w:gridCol w:w="565"/>
        <w:gridCol w:w="565"/>
        <w:gridCol w:w="565"/>
        <w:gridCol w:w="565"/>
        <w:gridCol w:w="566"/>
        <w:gridCol w:w="566"/>
        <w:gridCol w:w="566"/>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454" w:type="dxa"/>
            <w:gridSpan w:val="5"/>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行政复议</w:t>
            </w:r>
          </w:p>
        </w:tc>
        <w:tc>
          <w:tcPr>
            <w:tcW w:w="454" w:type="dxa"/>
            <w:gridSpan w:val="1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54" w:type="dxa"/>
            <w:vMerge w:val="restart"/>
            <w:tcBorders>
              <w:bottom w:val="nil"/>
            </w:tcBorders>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结果维持</w:t>
            </w:r>
          </w:p>
        </w:tc>
        <w:tc>
          <w:tcPr>
            <w:tcW w:w="454" w:type="dxa"/>
            <w:vMerge w:val="restart"/>
            <w:tcBorders>
              <w:bottom w:val="nil"/>
            </w:tcBorders>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结果纠正</w:t>
            </w:r>
          </w:p>
        </w:tc>
        <w:tc>
          <w:tcPr>
            <w:tcW w:w="454" w:type="dxa"/>
            <w:vMerge w:val="restart"/>
            <w:tcBorders>
              <w:bottom w:val="nil"/>
            </w:tcBorders>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其他结果</w:t>
            </w:r>
          </w:p>
        </w:tc>
        <w:tc>
          <w:tcPr>
            <w:tcW w:w="454" w:type="dxa"/>
            <w:vMerge w:val="restart"/>
            <w:tcBorders>
              <w:bottom w:val="nil"/>
            </w:tcBorders>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尚未审结</w:t>
            </w:r>
          </w:p>
        </w:tc>
        <w:tc>
          <w:tcPr>
            <w:tcW w:w="454" w:type="dxa"/>
            <w:vMerge w:val="restart"/>
            <w:tcBorders>
              <w:bottom w:val="nil"/>
            </w:tcBorders>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总计</w:t>
            </w:r>
          </w:p>
        </w:tc>
        <w:tc>
          <w:tcPr>
            <w:tcW w:w="454" w:type="dxa"/>
            <w:gridSpan w:val="5"/>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未经复议直接起诉</w:t>
            </w:r>
          </w:p>
        </w:tc>
        <w:tc>
          <w:tcPr>
            <w:tcW w:w="454" w:type="dxa"/>
            <w:gridSpan w:val="5"/>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jc w:val="center"/>
        </w:trPr>
        <w:tc>
          <w:tcPr>
            <w:tcW w:w="454" w:type="dxa"/>
            <w:vMerge w:val="continue"/>
            <w:tcBorders>
              <w:top w:val="nil"/>
            </w:tcBorders>
            <w:textDirection w:val="tbRlV"/>
            <w:vAlign w:val="center"/>
          </w:tcPr>
          <w:p>
            <w:pPr>
              <w:jc w:val="center"/>
              <w:rPr>
                <w:rFonts w:hint="eastAsia" w:ascii="仿宋_GB2312" w:hAnsi="仿宋_GB2312" w:eastAsia="仿宋_GB2312" w:cs="仿宋_GB2312"/>
                <w:sz w:val="21"/>
                <w:szCs w:val="21"/>
              </w:rPr>
            </w:pPr>
          </w:p>
        </w:tc>
        <w:tc>
          <w:tcPr>
            <w:tcW w:w="454" w:type="dxa"/>
            <w:vMerge w:val="continue"/>
            <w:tcBorders>
              <w:top w:val="nil"/>
            </w:tcBorders>
            <w:textDirection w:val="tbRlV"/>
            <w:vAlign w:val="center"/>
          </w:tcPr>
          <w:p>
            <w:pPr>
              <w:jc w:val="center"/>
              <w:rPr>
                <w:rFonts w:hint="eastAsia" w:ascii="仿宋_GB2312" w:hAnsi="仿宋_GB2312" w:eastAsia="仿宋_GB2312" w:cs="仿宋_GB2312"/>
                <w:sz w:val="21"/>
                <w:szCs w:val="21"/>
              </w:rPr>
            </w:pPr>
          </w:p>
        </w:tc>
        <w:tc>
          <w:tcPr>
            <w:tcW w:w="454" w:type="dxa"/>
            <w:vMerge w:val="continue"/>
            <w:tcBorders>
              <w:top w:val="nil"/>
            </w:tcBorders>
            <w:textDirection w:val="tbRlV"/>
            <w:vAlign w:val="center"/>
          </w:tcPr>
          <w:p>
            <w:pPr>
              <w:jc w:val="center"/>
              <w:rPr>
                <w:rFonts w:hint="eastAsia" w:ascii="仿宋_GB2312" w:hAnsi="仿宋_GB2312" w:eastAsia="仿宋_GB2312" w:cs="仿宋_GB2312"/>
                <w:sz w:val="21"/>
                <w:szCs w:val="21"/>
              </w:rPr>
            </w:pPr>
          </w:p>
        </w:tc>
        <w:tc>
          <w:tcPr>
            <w:tcW w:w="454" w:type="dxa"/>
            <w:vMerge w:val="continue"/>
            <w:tcBorders>
              <w:top w:val="nil"/>
            </w:tcBorders>
            <w:textDirection w:val="tbRlV"/>
            <w:vAlign w:val="center"/>
          </w:tcPr>
          <w:p>
            <w:pPr>
              <w:jc w:val="center"/>
              <w:rPr>
                <w:rFonts w:hint="eastAsia" w:ascii="仿宋_GB2312" w:hAnsi="仿宋_GB2312" w:eastAsia="仿宋_GB2312" w:cs="仿宋_GB2312"/>
                <w:sz w:val="21"/>
                <w:szCs w:val="21"/>
              </w:rPr>
            </w:pPr>
          </w:p>
        </w:tc>
        <w:tc>
          <w:tcPr>
            <w:tcW w:w="454" w:type="dxa"/>
            <w:vMerge w:val="continue"/>
            <w:tcBorders>
              <w:top w:val="nil"/>
            </w:tcBorders>
            <w:textDirection w:val="tbRlV"/>
            <w:vAlign w:val="center"/>
          </w:tcPr>
          <w:p>
            <w:pPr>
              <w:jc w:val="center"/>
              <w:rPr>
                <w:rFonts w:hint="eastAsia" w:ascii="仿宋_GB2312" w:hAnsi="仿宋_GB2312" w:eastAsia="仿宋_GB2312" w:cs="仿宋_GB2312"/>
                <w:sz w:val="21"/>
                <w:szCs w:val="21"/>
              </w:rPr>
            </w:pPr>
          </w:p>
        </w:tc>
        <w:tc>
          <w:tcPr>
            <w:tcW w:w="454" w:type="dxa"/>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结果维持</w:t>
            </w:r>
          </w:p>
        </w:tc>
        <w:tc>
          <w:tcPr>
            <w:tcW w:w="454" w:type="dxa"/>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结果纠正</w:t>
            </w:r>
          </w:p>
        </w:tc>
        <w:tc>
          <w:tcPr>
            <w:tcW w:w="454" w:type="dxa"/>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其他结果</w:t>
            </w:r>
          </w:p>
        </w:tc>
        <w:tc>
          <w:tcPr>
            <w:tcW w:w="454" w:type="dxa"/>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尚未审结</w:t>
            </w:r>
          </w:p>
        </w:tc>
        <w:tc>
          <w:tcPr>
            <w:tcW w:w="454" w:type="dxa"/>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总计</w:t>
            </w:r>
          </w:p>
        </w:tc>
        <w:tc>
          <w:tcPr>
            <w:tcW w:w="454" w:type="dxa"/>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结果维持</w:t>
            </w:r>
          </w:p>
        </w:tc>
        <w:tc>
          <w:tcPr>
            <w:tcW w:w="454" w:type="dxa"/>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结果纠正</w:t>
            </w:r>
          </w:p>
        </w:tc>
        <w:tc>
          <w:tcPr>
            <w:tcW w:w="454" w:type="dxa"/>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其他结果</w:t>
            </w:r>
          </w:p>
        </w:tc>
        <w:tc>
          <w:tcPr>
            <w:tcW w:w="454" w:type="dxa"/>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尚未审结</w:t>
            </w:r>
          </w:p>
        </w:tc>
        <w:tc>
          <w:tcPr>
            <w:tcW w:w="454" w:type="dxa"/>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c>
          <w:tcPr>
            <w:tcW w:w="454" w:type="dxa"/>
            <w:vAlign w:val="center"/>
          </w:tcPr>
          <w:p>
            <w:pPr>
              <w:jc w:val="center"/>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(一)填表说明</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1</w:t>
      </w:r>
      <w:r>
        <w:rPr>
          <w:rFonts w:hint="eastAsia" w:ascii="仿宋_GB2312" w:hAnsi="仿宋_GB2312" w:eastAsia="仿宋_GB2312" w:cs="仿宋_GB2312"/>
          <w:b/>
          <w:bCs/>
          <w:spacing w:val="2"/>
          <w:sz w:val="32"/>
          <w:szCs w:val="32"/>
          <w:lang w:eastAsia="zh-CN"/>
        </w:rPr>
        <w:t>、</w:t>
      </w:r>
      <w:r>
        <w:rPr>
          <w:rFonts w:hint="eastAsia" w:ascii="仿宋_GB2312" w:hAnsi="仿宋_GB2312" w:eastAsia="仿宋_GB2312" w:cs="仿宋_GB2312"/>
          <w:b/>
          <w:bCs/>
          <w:spacing w:val="2"/>
          <w:sz w:val="32"/>
          <w:szCs w:val="32"/>
        </w:rPr>
        <w:t>行政复议</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bCs/>
          <w:spacing w:val="2"/>
          <w:sz w:val="32"/>
          <w:szCs w:val="32"/>
        </w:rPr>
        <w:t>结果维持：</w:t>
      </w:r>
      <w:r>
        <w:rPr>
          <w:rFonts w:hint="eastAsia" w:ascii="仿宋_GB2312" w:hAnsi="仿宋_GB2312" w:eastAsia="仿宋_GB2312" w:cs="仿宋_GB2312"/>
          <w:b w:val="0"/>
          <w:bCs w:val="0"/>
          <w:spacing w:val="2"/>
          <w:sz w:val="32"/>
          <w:szCs w:val="32"/>
        </w:rPr>
        <w:t>填报结果为“决定维持”的行政复议案件数量。</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bCs/>
          <w:spacing w:val="2"/>
          <w:sz w:val="32"/>
          <w:szCs w:val="32"/>
        </w:rPr>
        <w:t>结果纠正：</w:t>
      </w:r>
      <w:r>
        <w:rPr>
          <w:rFonts w:hint="eastAsia" w:ascii="仿宋_GB2312" w:hAnsi="仿宋_GB2312" w:eastAsia="仿宋_GB2312" w:cs="仿宋_GB2312"/>
          <w:b w:val="0"/>
          <w:bCs w:val="0"/>
          <w:spacing w:val="2"/>
          <w:sz w:val="32"/>
          <w:szCs w:val="32"/>
        </w:rPr>
        <w:t>填报结果被纠正(包括：限期履行、决定撤销、决定变更、确认违法等)的行政复议案件数量(注：凡行政复议机关作出复议决定，且不是“决定维持”的，均应纳入“结果纠正”的统计范围)。</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bCs/>
          <w:spacing w:val="2"/>
          <w:sz w:val="32"/>
          <w:szCs w:val="32"/>
        </w:rPr>
        <w:t>其他结果：</w:t>
      </w:r>
      <w:r>
        <w:rPr>
          <w:rFonts w:hint="eastAsia" w:ascii="仿宋_GB2312" w:hAnsi="仿宋_GB2312" w:eastAsia="仿宋_GB2312" w:cs="仿宋_GB2312"/>
          <w:b w:val="0"/>
          <w:bCs w:val="0"/>
          <w:spacing w:val="2"/>
          <w:sz w:val="32"/>
          <w:szCs w:val="32"/>
        </w:rPr>
        <w:t>填报因申请人撤回行政复议申请、行政复议终止等情形的行政复议案件数量(注：凡行政复议机关作出复议决定的，均不得纳入“其他结果”的统计范围。所谓“其他结果”,是“结果维持”“结果纠正”之外的其他结果，正常情况下应当很少。)。</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bCs/>
          <w:spacing w:val="2"/>
          <w:sz w:val="32"/>
          <w:szCs w:val="32"/>
        </w:rPr>
        <w:t>尚未审结：</w:t>
      </w:r>
      <w:r>
        <w:rPr>
          <w:rFonts w:hint="eastAsia" w:ascii="仿宋_GB2312" w:hAnsi="仿宋_GB2312" w:eastAsia="仿宋_GB2312" w:cs="仿宋_GB2312"/>
          <w:b w:val="0"/>
          <w:bCs w:val="0"/>
          <w:spacing w:val="2"/>
          <w:sz w:val="32"/>
          <w:szCs w:val="32"/>
        </w:rPr>
        <w:t>填报已收到行政复议答复通知书，但行政复议机关未在本年度作出复议决定的案件数量。</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bCs/>
          <w:spacing w:val="2"/>
          <w:sz w:val="32"/>
          <w:szCs w:val="32"/>
        </w:rPr>
        <w:t>总计：</w:t>
      </w:r>
      <w:r>
        <w:rPr>
          <w:rFonts w:hint="eastAsia" w:ascii="仿宋_GB2312" w:hAnsi="仿宋_GB2312" w:eastAsia="仿宋_GB2312" w:cs="仿宋_GB2312"/>
          <w:b w:val="0"/>
          <w:bCs w:val="0"/>
          <w:spacing w:val="2"/>
          <w:sz w:val="32"/>
          <w:szCs w:val="32"/>
        </w:rPr>
        <w:t>填报本年度本机关因政府信息公开引发的行政复议案件总数(注：总计=结果维持+结果纠正+其他结果+尚未审结)。</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2</w:t>
      </w:r>
      <w:r>
        <w:rPr>
          <w:rFonts w:hint="eastAsia" w:ascii="仿宋_GB2312" w:hAnsi="仿宋_GB2312" w:eastAsia="仿宋_GB2312" w:cs="仿宋_GB2312"/>
          <w:b/>
          <w:bCs/>
          <w:spacing w:val="2"/>
          <w:sz w:val="32"/>
          <w:szCs w:val="32"/>
          <w:lang w:eastAsia="zh-CN"/>
        </w:rPr>
        <w:t>、</w:t>
      </w:r>
      <w:r>
        <w:rPr>
          <w:rFonts w:hint="eastAsia" w:ascii="仿宋_GB2312" w:hAnsi="仿宋_GB2312" w:eastAsia="仿宋_GB2312" w:cs="仿宋_GB2312"/>
          <w:b/>
          <w:bCs/>
          <w:spacing w:val="2"/>
          <w:sz w:val="32"/>
          <w:szCs w:val="32"/>
        </w:rPr>
        <w:t>行政诉讼</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bCs/>
          <w:spacing w:val="2"/>
          <w:sz w:val="32"/>
          <w:szCs w:val="32"/>
        </w:rPr>
        <w:t>未经复议直接起诉：</w:t>
      </w:r>
      <w:r>
        <w:rPr>
          <w:rFonts w:hint="eastAsia" w:ascii="仿宋_GB2312" w:hAnsi="仿宋_GB2312" w:eastAsia="仿宋_GB2312" w:cs="仿宋_GB2312"/>
          <w:b w:val="0"/>
          <w:bCs w:val="0"/>
          <w:spacing w:val="2"/>
          <w:sz w:val="32"/>
          <w:szCs w:val="32"/>
        </w:rPr>
        <w:t>参考“行政复议”。</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bCs/>
          <w:spacing w:val="2"/>
          <w:sz w:val="32"/>
          <w:szCs w:val="32"/>
        </w:rPr>
        <w:t>复议后起诉：</w:t>
      </w:r>
      <w:r>
        <w:rPr>
          <w:rFonts w:hint="eastAsia" w:ascii="仿宋_GB2312" w:hAnsi="仿宋_GB2312" w:eastAsia="仿宋_GB2312" w:cs="仿宋_GB2312"/>
          <w:b w:val="0"/>
          <w:bCs w:val="0"/>
          <w:spacing w:val="2"/>
          <w:sz w:val="32"/>
          <w:szCs w:val="32"/>
        </w:rPr>
        <w:t>参考“行政复议”。</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(二)注意事项</w:t>
      </w:r>
    </w:p>
    <w:p>
      <w:pPr>
        <w:keepNext w:val="0"/>
        <w:keepLines w:val="0"/>
        <w:pageBreakBefore w:val="0"/>
        <w:widowControl w:val="0"/>
        <w:kinsoku/>
        <w:wordWrap/>
        <w:overflowPunct/>
        <w:topLinePunct w:val="0"/>
        <w:autoSpaceDE/>
        <w:autoSpaceDN/>
        <w:bidi w:val="0"/>
        <w:adjustRightInd/>
        <w:snapToGrid/>
        <w:spacing w:line="550" w:lineRule="exact"/>
        <w:ind w:firstLine="648"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1</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2"/>
          <w:sz w:val="32"/>
          <w:szCs w:val="32"/>
        </w:rPr>
        <w:t>本表仅统计本机关因政府信息公开引发的行政复议和行政诉讼案件数量，不包括本机关其他具体行政行为引发的行政复议和行政诉讼案件(例如：某机关</w:t>
      </w:r>
      <w:r>
        <w:rPr>
          <w:rFonts w:hint="eastAsia" w:ascii="仿宋_GB2312" w:hAnsi="仿宋_GB2312" w:eastAsia="仿宋_GB2312" w:cs="仿宋_GB2312"/>
          <w:b w:val="0"/>
          <w:bCs w:val="0"/>
          <w:spacing w:val="2"/>
          <w:sz w:val="32"/>
          <w:szCs w:val="32"/>
          <w:lang w:eastAsia="zh-CN"/>
        </w:rPr>
        <w:t>2024年</w:t>
      </w:r>
      <w:r>
        <w:rPr>
          <w:rFonts w:hint="eastAsia" w:ascii="仿宋_GB2312" w:hAnsi="仿宋_GB2312" w:eastAsia="仿宋_GB2312" w:cs="仿宋_GB2312"/>
          <w:b w:val="0"/>
          <w:bCs w:val="0"/>
          <w:spacing w:val="2"/>
          <w:sz w:val="32"/>
          <w:szCs w:val="32"/>
        </w:rPr>
        <w:t>收到50件行政复议通知书，其中20件为申请人对政府信息公开决定不服，另外30件为行政相对人对本机关作出的其他具体行政行为不服，则该机关</w:t>
      </w:r>
      <w:r>
        <w:rPr>
          <w:rFonts w:hint="eastAsia" w:ascii="仿宋_GB2312" w:hAnsi="仿宋_GB2312" w:eastAsia="仿宋_GB2312" w:cs="仿宋_GB2312"/>
          <w:b w:val="0"/>
          <w:bCs w:val="0"/>
          <w:spacing w:val="2"/>
          <w:sz w:val="32"/>
          <w:szCs w:val="32"/>
          <w:lang w:eastAsia="zh-CN"/>
        </w:rPr>
        <w:t>2024年</w:t>
      </w:r>
      <w:r>
        <w:rPr>
          <w:rFonts w:hint="eastAsia" w:ascii="仿宋_GB2312" w:hAnsi="仿宋_GB2312" w:eastAsia="仿宋_GB2312" w:cs="仿宋_GB2312"/>
          <w:b w:val="0"/>
          <w:bCs w:val="0"/>
          <w:spacing w:val="2"/>
          <w:sz w:val="32"/>
          <w:szCs w:val="32"/>
        </w:rPr>
        <w:t>政府信息公开年报行政复议“总计”栏应填“20”,不能填“50”,行政诉讼同理)。</w:t>
      </w:r>
    </w:p>
    <w:p>
      <w:pPr>
        <w:keepNext w:val="0"/>
        <w:keepLines w:val="0"/>
        <w:pageBreakBefore w:val="0"/>
        <w:widowControl w:val="0"/>
        <w:kinsoku/>
        <w:wordWrap/>
        <w:overflowPunct/>
        <w:topLinePunct w:val="0"/>
        <w:autoSpaceDE/>
        <w:autoSpaceDN/>
        <w:bidi w:val="0"/>
        <w:adjustRightInd/>
        <w:snapToGrid/>
        <w:spacing w:line="550" w:lineRule="exact"/>
        <w:ind w:firstLine="648"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2</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2"/>
          <w:sz w:val="32"/>
          <w:szCs w:val="32"/>
        </w:rPr>
        <w:t>统计的时间范围，以收到行政复议或者行政诉讼通知书的时间为准(例如：202</w:t>
      </w:r>
      <w:r>
        <w:rPr>
          <w:rFonts w:hint="eastAsia" w:ascii="仿宋_GB2312" w:hAnsi="仿宋_GB2312" w:eastAsia="仿宋_GB2312" w:cs="仿宋_GB2312"/>
          <w:b w:val="0"/>
          <w:bCs w:val="0"/>
          <w:spacing w:val="2"/>
          <w:sz w:val="32"/>
          <w:szCs w:val="32"/>
          <w:lang w:val="en-US" w:eastAsia="zh-CN"/>
        </w:rPr>
        <w:t>3</w:t>
      </w:r>
      <w:r>
        <w:rPr>
          <w:rFonts w:hint="eastAsia" w:ascii="仿宋_GB2312" w:hAnsi="仿宋_GB2312" w:eastAsia="仿宋_GB2312" w:cs="仿宋_GB2312"/>
          <w:b w:val="0"/>
          <w:bCs w:val="0"/>
          <w:spacing w:val="2"/>
          <w:sz w:val="32"/>
          <w:szCs w:val="32"/>
        </w:rPr>
        <w:t>年作出的政府信息公开决定，申请人</w:t>
      </w:r>
      <w:r>
        <w:rPr>
          <w:rFonts w:hint="eastAsia" w:ascii="仿宋_GB2312" w:hAnsi="仿宋_GB2312" w:eastAsia="仿宋_GB2312" w:cs="仿宋_GB2312"/>
          <w:b w:val="0"/>
          <w:bCs w:val="0"/>
          <w:spacing w:val="2"/>
          <w:sz w:val="32"/>
          <w:szCs w:val="32"/>
          <w:lang w:eastAsia="zh-CN"/>
        </w:rPr>
        <w:t>2024年</w:t>
      </w:r>
      <w:r>
        <w:rPr>
          <w:rFonts w:hint="eastAsia" w:ascii="仿宋_GB2312" w:hAnsi="仿宋_GB2312" w:eastAsia="仿宋_GB2312" w:cs="仿宋_GB2312"/>
          <w:b w:val="0"/>
          <w:bCs w:val="0"/>
          <w:spacing w:val="2"/>
          <w:sz w:val="32"/>
          <w:szCs w:val="32"/>
        </w:rPr>
        <w:t>才提出行政复议或者行政诉讼，则该案件纳入</w:t>
      </w:r>
      <w:r>
        <w:rPr>
          <w:rFonts w:hint="eastAsia" w:ascii="仿宋_GB2312" w:hAnsi="仿宋_GB2312" w:eastAsia="仿宋_GB2312" w:cs="仿宋_GB2312"/>
          <w:b w:val="0"/>
          <w:bCs w:val="0"/>
          <w:spacing w:val="2"/>
          <w:sz w:val="32"/>
          <w:szCs w:val="32"/>
          <w:lang w:eastAsia="zh-CN"/>
        </w:rPr>
        <w:t>2024年</w:t>
      </w:r>
      <w:r>
        <w:rPr>
          <w:rFonts w:hint="eastAsia" w:ascii="仿宋_GB2312" w:hAnsi="仿宋_GB2312" w:eastAsia="仿宋_GB2312" w:cs="仿宋_GB2312"/>
          <w:b w:val="0"/>
          <w:bCs w:val="0"/>
          <w:spacing w:val="2"/>
          <w:sz w:val="32"/>
          <w:szCs w:val="32"/>
        </w:rPr>
        <w:t>信息公开年报的统计范围)。</w:t>
      </w:r>
    </w:p>
    <w:p>
      <w:pPr>
        <w:keepNext w:val="0"/>
        <w:keepLines w:val="0"/>
        <w:pageBreakBefore w:val="0"/>
        <w:widowControl w:val="0"/>
        <w:kinsoku/>
        <w:wordWrap/>
        <w:overflowPunct/>
        <w:topLinePunct w:val="0"/>
        <w:autoSpaceDE/>
        <w:autoSpaceDN/>
        <w:bidi w:val="0"/>
        <w:adjustRightInd/>
        <w:snapToGrid/>
        <w:spacing w:line="550" w:lineRule="exact"/>
        <w:ind w:firstLine="648"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3</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2"/>
          <w:sz w:val="32"/>
          <w:szCs w:val="32"/>
        </w:rPr>
        <w:t>行政复议机关作为共同被告的行政诉讼案件，纳入原行为主体的案件统计范围，不纳入行政复议机关的案件统计。</w:t>
      </w:r>
    </w:p>
    <w:p>
      <w:pPr>
        <w:keepNext w:val="0"/>
        <w:keepLines w:val="0"/>
        <w:pageBreakBefore w:val="0"/>
        <w:widowControl w:val="0"/>
        <w:kinsoku/>
        <w:wordWrap/>
        <w:overflowPunct/>
        <w:topLinePunct w:val="0"/>
        <w:autoSpaceDE/>
        <w:autoSpaceDN/>
        <w:bidi w:val="0"/>
        <w:adjustRightInd/>
        <w:snapToGrid/>
        <w:spacing w:line="550" w:lineRule="exact"/>
        <w:ind w:firstLine="648"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4</w:t>
      </w:r>
      <w:r>
        <w:rPr>
          <w:rFonts w:hint="eastAsia" w:ascii="仿宋_GB2312" w:hAnsi="仿宋_GB2312" w:eastAsia="仿宋_GB2312" w:cs="仿宋_GB2312"/>
          <w:b w:val="0"/>
          <w:bCs w:val="0"/>
          <w:spacing w:val="2"/>
          <w:sz w:val="32"/>
          <w:szCs w:val="32"/>
          <w:lang w:eastAsia="zh-CN"/>
        </w:rPr>
        <w:t>、</w:t>
      </w:r>
      <w:r>
        <w:rPr>
          <w:rFonts w:hint="eastAsia" w:ascii="仿宋_GB2312" w:hAnsi="仿宋_GB2312" w:eastAsia="仿宋_GB2312" w:cs="仿宋_GB2312"/>
          <w:b w:val="0"/>
          <w:bCs w:val="0"/>
          <w:spacing w:val="2"/>
          <w:sz w:val="32"/>
          <w:szCs w:val="32"/>
        </w:rPr>
        <w:t>地(州、市)政府信息公开年报中本表相关数据，应对所属部门和县级政府</w:t>
      </w:r>
      <w:bookmarkStart w:id="0" w:name="_GoBack"/>
      <w:bookmarkEnd w:id="0"/>
      <w:r>
        <w:rPr>
          <w:rFonts w:hint="eastAsia" w:ascii="仿宋_GB2312" w:hAnsi="仿宋_GB2312" w:eastAsia="仿宋_GB2312" w:cs="仿宋_GB2312"/>
          <w:b w:val="0"/>
          <w:bCs w:val="0"/>
          <w:spacing w:val="2"/>
          <w:sz w:val="32"/>
          <w:szCs w:val="32"/>
        </w:rPr>
        <w:t>信息公开年报的相关数据进行加总。</w:t>
      </w:r>
    </w:p>
    <w:p>
      <w:pPr>
        <w:keepNext w:val="0"/>
        <w:keepLines w:val="0"/>
        <w:pageBreakBefore w:val="0"/>
        <w:widowControl w:val="0"/>
        <w:kinsoku/>
        <w:wordWrap/>
        <w:overflowPunct/>
        <w:topLinePunct w:val="0"/>
        <w:autoSpaceDE/>
        <w:autoSpaceDN/>
        <w:bidi w:val="0"/>
        <w:adjustRightInd/>
        <w:snapToGrid/>
        <w:spacing w:line="550" w:lineRule="exact"/>
        <w:ind w:firstLine="648" w:firstLineChars="200"/>
        <w:jc w:val="both"/>
        <w:textAlignment w:val="auto"/>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50" w:lineRule="exact"/>
        <w:ind w:firstLine="648"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该部分采用文字描述。</w:t>
      </w:r>
    </w:p>
    <w:p>
      <w:pPr>
        <w:keepNext w:val="0"/>
        <w:keepLines w:val="0"/>
        <w:pageBreakBefore w:val="0"/>
        <w:widowControl w:val="0"/>
        <w:kinsoku/>
        <w:wordWrap/>
        <w:overflowPunct/>
        <w:topLinePunct w:val="0"/>
        <w:autoSpaceDE/>
        <w:autoSpaceDN/>
        <w:bidi w:val="0"/>
        <w:adjustRightInd/>
        <w:snapToGrid/>
        <w:spacing w:line="550" w:lineRule="exact"/>
        <w:ind w:firstLine="648"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这一项主要报告本机关年度政府信息公开工作中存在的主要问题及改进情况。此项内容重在实事求是、明确具体，避免笼统模糊、泛泛而谈。查找问题要有针对性，改进举措要有实效性，不得出现敷衍了事甚至年年雷同现象。</w:t>
      </w:r>
    </w:p>
    <w:p>
      <w:pPr>
        <w:keepNext w:val="0"/>
        <w:keepLines w:val="0"/>
        <w:pageBreakBefore w:val="0"/>
        <w:widowControl w:val="0"/>
        <w:kinsoku/>
        <w:wordWrap/>
        <w:overflowPunct/>
        <w:topLinePunct w:val="0"/>
        <w:autoSpaceDE/>
        <w:autoSpaceDN/>
        <w:bidi w:val="0"/>
        <w:adjustRightInd/>
        <w:snapToGrid/>
        <w:spacing w:line="550" w:lineRule="exact"/>
        <w:ind w:firstLine="648" w:firstLineChars="200"/>
        <w:jc w:val="both"/>
        <w:textAlignment w:val="auto"/>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50" w:lineRule="exact"/>
        <w:ind w:firstLine="648"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该部分采用文字描述。</w:t>
      </w:r>
    </w:p>
    <w:p>
      <w:pPr>
        <w:keepNext w:val="0"/>
        <w:keepLines w:val="0"/>
        <w:pageBreakBefore w:val="0"/>
        <w:widowControl w:val="0"/>
        <w:kinsoku/>
        <w:wordWrap/>
        <w:overflowPunct/>
        <w:topLinePunct w:val="0"/>
        <w:autoSpaceDE/>
        <w:autoSpaceDN/>
        <w:bidi w:val="0"/>
        <w:adjustRightInd/>
        <w:snapToGrid/>
        <w:spacing w:line="550" w:lineRule="exact"/>
        <w:ind w:firstLine="648" w:firstLineChars="200"/>
        <w:jc w:val="both"/>
        <w:textAlignment w:val="auto"/>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这一项主要报告本机关认为需要报告的其他事项，以及其他有关文件专门要求通过政府信息公开工作年度报告予以报告的事项。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50" w:lineRule="exact"/>
        <w:ind w:firstLine="648" w:firstLineChars="200"/>
        <w:jc w:val="both"/>
        <w:textAlignment w:val="auto"/>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b w:val="0"/>
          <w:bCs w:val="0"/>
          <w:spacing w:val="2"/>
          <w:sz w:val="32"/>
          <w:szCs w:val="32"/>
        </w:rPr>
        <w:t>各行政机关依据《政府信息公开信息处理费管理办法》收取信息处理费的情况，在此处专门报告。</w:t>
      </w:r>
    </w:p>
    <w:p>
      <w:pPr>
        <w:pStyle w:val="2"/>
        <w:spacing w:line="219" w:lineRule="auto"/>
        <w:ind w:left="155"/>
        <w:rPr>
          <w:rFonts w:hint="eastAsia" w:ascii="方正仿宋_GB2312" w:hAnsi="方正仿宋_GB2312" w:eastAsia="方正仿宋_GB2312" w:cs="方正仿宋_GB2312"/>
          <w:spacing w:val="14"/>
          <w:sz w:val="30"/>
          <w:szCs w:val="30"/>
        </w:rPr>
      </w:pPr>
    </w:p>
    <w:sectPr>
      <w:pgSz w:w="11905" w:h="16838"/>
      <w:pgMar w:top="1701" w:right="1474" w:bottom="1531" w:left="1587" w:header="0" w:footer="107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 w:name="CESI宋体-GB18030">
    <w:panose1 w:val="02000500000000000000"/>
    <w:charset w:val="86"/>
    <w:family w:val="auto"/>
    <w:pitch w:val="default"/>
    <w:sig w:usb0="A00002BF" w:usb1="38C77CFA"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9"/>
      <w:rPr>
        <w:rFonts w:ascii="宋体" w:hAnsi="宋体" w:eastAsia="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04"/>
      <w:rPr>
        <w:rFonts w:ascii="宋体" w:hAnsi="宋体" w:eastAsia="宋体" w:cs="宋体"/>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JjNjBjMjY5ODU5MDhhY2JmZDk0NjE5OTVjOGJkMmMifQ=="/>
  </w:docVars>
  <w:rsids>
    <w:rsidRoot w:val="00000000"/>
    <w:rsid w:val="13D46914"/>
    <w:rsid w:val="186A061D"/>
    <w:rsid w:val="1FE771BD"/>
    <w:rsid w:val="2BBECCF3"/>
    <w:rsid w:val="2BEE2C41"/>
    <w:rsid w:val="310801DF"/>
    <w:rsid w:val="3BA00460"/>
    <w:rsid w:val="3FCF0A0D"/>
    <w:rsid w:val="4CA63DE7"/>
    <w:rsid w:val="4E5F5F21"/>
    <w:rsid w:val="50613B79"/>
    <w:rsid w:val="51FED7AB"/>
    <w:rsid w:val="55C022BA"/>
    <w:rsid w:val="5AFA409D"/>
    <w:rsid w:val="5BD462C2"/>
    <w:rsid w:val="5BFFA17D"/>
    <w:rsid w:val="5DF988C3"/>
    <w:rsid w:val="5EFA7CCD"/>
    <w:rsid w:val="5FF9E0EB"/>
    <w:rsid w:val="6D785F60"/>
    <w:rsid w:val="6FBB27F8"/>
    <w:rsid w:val="6FFF438D"/>
    <w:rsid w:val="702E2744"/>
    <w:rsid w:val="725FCF84"/>
    <w:rsid w:val="757DE146"/>
    <w:rsid w:val="786DC0CF"/>
    <w:rsid w:val="797C0647"/>
    <w:rsid w:val="7A78007C"/>
    <w:rsid w:val="7AE615DB"/>
    <w:rsid w:val="7EAD23D9"/>
    <w:rsid w:val="7EFD9AF8"/>
    <w:rsid w:val="7F7D58EC"/>
    <w:rsid w:val="7F7F8FF7"/>
    <w:rsid w:val="9D4B5CFF"/>
    <w:rsid w:val="ABEA8843"/>
    <w:rsid w:val="B2D73C1D"/>
    <w:rsid w:val="BA7B23C6"/>
    <w:rsid w:val="CF9F9C03"/>
    <w:rsid w:val="DFF7E9E8"/>
    <w:rsid w:val="E9F71EFB"/>
    <w:rsid w:val="F1F9F433"/>
    <w:rsid w:val="F68DF1D6"/>
    <w:rsid w:val="F9C857C5"/>
    <w:rsid w:val="FE734873"/>
    <w:rsid w:val="FEFBA7FC"/>
    <w:rsid w:val="FFFB2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snapToGrid w:val="0"/>
      <w:jc w:val="left"/>
    </w:pPr>
    <w:rPr>
      <w:rFonts w:ascii="Arial" w:hAnsi="Arial" w:eastAsia="CESI宋体-GB18030"/>
      <w:sz w:val="2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rPr>
      <w:rFonts w:ascii="Calibri" w:hAnsi="Calibri" w:eastAsia="Times New Roman"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2024-01-04T05:47:00Z</dcterms:created>
  <dc:creator>Kingsoft-PDF</dc:creator>
  <cp:lastModifiedBy>user</cp:lastModifiedBy>
  <cp:lastPrinted>2024-01-05T19:16:00Z</cp:lastPrinted>
  <dcterms:modified xsi:type="dcterms:W3CDTF">2025-01-03T12:18:26Z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2024-01-02T13:47:22Z</vt:filetime>
  </property>
  <property fmtid="{D5CDD505-2E9C-101B-9397-08002B2CF9AE}" pid="4" name="UsrData">
    <vt:lpwstr>6593a366d022c6001f5cd015wl</vt:lpwstr>
  </property>
  <property fmtid="{D5CDD505-2E9C-101B-9397-08002B2CF9AE}" pid="5" name="KSOProductBuildVer">
    <vt:lpwstr>2052-11.8.2.10386</vt:lpwstr>
  </property>
  <property fmtid="{D5CDD505-2E9C-101B-9397-08002B2CF9AE}" pid="6" name="ICV">
    <vt:lpwstr>76ED987BBA1B48C99C1F7E28BDBB7AA6_13</vt:lpwstr>
  </property>
</Properties>
</file>